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7DD40" w14:textId="77777777" w:rsidR="00AA2356" w:rsidRPr="00B14C47" w:rsidRDefault="00AA2356" w:rsidP="00B66DF8">
      <w:pPr>
        <w:rPr>
          <w:rFonts w:ascii="Arial" w:hAnsi="Arial" w:cs="Arial"/>
          <w:color w:val="FF0000"/>
          <w:sz w:val="20"/>
          <w:lang w:val="en-US"/>
        </w:rPr>
      </w:pPr>
      <w:r w:rsidRPr="00B14C47">
        <w:rPr>
          <w:rFonts w:ascii="Arial" w:hAnsi="Arial" w:cs="Arial"/>
          <w:noProof/>
          <w:sz w:val="20"/>
          <w:lang w:eastAsia="bg-BG"/>
        </w:rPr>
        <w:drawing>
          <wp:anchor distT="0" distB="0" distL="114300" distR="114300" simplePos="0" relativeHeight="251661312" behindDoc="0" locked="0" layoutInCell="1" allowOverlap="1" wp14:anchorId="3C722F27" wp14:editId="0387C4B6">
            <wp:simplePos x="0" y="0"/>
            <wp:positionH relativeFrom="margin">
              <wp:posOffset>4290695</wp:posOffset>
            </wp:positionH>
            <wp:positionV relativeFrom="margin">
              <wp:posOffset>4445</wp:posOffset>
            </wp:positionV>
            <wp:extent cx="1325880" cy="971550"/>
            <wp:effectExtent l="19050" t="0" r="7620" b="0"/>
            <wp:wrapSquare wrapText="bothSides"/>
            <wp:docPr id="3" name="Picture 3" descr="inf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ra_logo"/>
                    <pic:cNvPicPr>
                      <a:picLocks noChangeAspect="1" noChangeArrowheads="1"/>
                    </pic:cNvPicPr>
                  </pic:nvPicPr>
                  <pic:blipFill>
                    <a:blip r:embed="rId8" cstate="print"/>
                    <a:srcRect/>
                    <a:stretch>
                      <a:fillRect/>
                    </a:stretch>
                  </pic:blipFill>
                  <pic:spPr bwMode="auto">
                    <a:xfrm>
                      <a:off x="0" y="0"/>
                      <a:ext cx="1325880" cy="971550"/>
                    </a:xfrm>
                    <a:prstGeom prst="rect">
                      <a:avLst/>
                    </a:prstGeom>
                    <a:noFill/>
                    <a:ln w="9525">
                      <a:noFill/>
                      <a:miter lim="800000"/>
                      <a:headEnd/>
                      <a:tailEnd/>
                    </a:ln>
                  </pic:spPr>
                </pic:pic>
              </a:graphicData>
            </a:graphic>
          </wp:anchor>
        </w:drawing>
      </w:r>
      <w:r w:rsidR="00B66DF8" w:rsidRPr="00B14C47">
        <w:rPr>
          <w:rFonts w:ascii="Arial" w:hAnsi="Arial" w:cs="Arial"/>
          <w:color w:val="FF0000"/>
          <w:sz w:val="20"/>
        </w:rPr>
        <w:t xml:space="preserve">                                         </w:t>
      </w:r>
    </w:p>
    <w:p w14:paraId="5C2FAAE1" w14:textId="77777777" w:rsidR="00B66DF8" w:rsidRPr="00B14C47" w:rsidRDefault="00B66DF8" w:rsidP="00B66DF8">
      <w:pPr>
        <w:rPr>
          <w:rFonts w:ascii="Arial" w:hAnsi="Arial" w:cs="Arial"/>
          <w:sz w:val="20"/>
        </w:rPr>
      </w:pPr>
      <w:r w:rsidRPr="00B14C47">
        <w:rPr>
          <w:rFonts w:ascii="Arial" w:hAnsi="Arial" w:cs="Arial"/>
          <w:color w:val="FF0000"/>
          <w:sz w:val="20"/>
        </w:rPr>
        <w:t xml:space="preserve">                        </w:t>
      </w:r>
    </w:p>
    <w:p w14:paraId="2BBB5048" w14:textId="77777777" w:rsidR="002848F9" w:rsidRPr="00B14C47" w:rsidRDefault="002848F9" w:rsidP="006E7479">
      <w:pPr>
        <w:pStyle w:val="Heading6"/>
        <w:jc w:val="center"/>
        <w:rPr>
          <w:rFonts w:ascii="Arial" w:hAnsi="Arial" w:cs="Arial"/>
          <w:lang w:val="bg-BG"/>
        </w:rPr>
      </w:pPr>
    </w:p>
    <w:p w14:paraId="4C03AC21" w14:textId="77777777" w:rsidR="002848F9" w:rsidRPr="00B14C47" w:rsidRDefault="002848F9" w:rsidP="006E7479">
      <w:pPr>
        <w:pStyle w:val="Heading6"/>
        <w:jc w:val="center"/>
        <w:rPr>
          <w:rFonts w:ascii="Arial" w:hAnsi="Arial" w:cs="Arial"/>
          <w:lang w:val="bg-BG"/>
        </w:rPr>
      </w:pPr>
    </w:p>
    <w:p w14:paraId="43EF3CE3" w14:textId="77777777" w:rsidR="002848F9" w:rsidRPr="00B14C47" w:rsidRDefault="002848F9" w:rsidP="006E7479">
      <w:pPr>
        <w:pStyle w:val="Heading6"/>
        <w:jc w:val="center"/>
        <w:rPr>
          <w:rFonts w:ascii="Arial" w:hAnsi="Arial" w:cs="Arial"/>
          <w:lang w:val="bg-BG"/>
        </w:rPr>
      </w:pPr>
    </w:p>
    <w:p w14:paraId="4BFFB492" w14:textId="77777777" w:rsidR="00B66DF8" w:rsidRPr="00B14C47" w:rsidRDefault="006E7479" w:rsidP="006E7479">
      <w:pPr>
        <w:pStyle w:val="Heading6"/>
        <w:jc w:val="center"/>
        <w:rPr>
          <w:rFonts w:ascii="Arial" w:hAnsi="Arial" w:cs="Arial"/>
        </w:rPr>
      </w:pPr>
      <w:r w:rsidRPr="00B14C47">
        <w:rPr>
          <w:rFonts w:ascii="Arial" w:hAnsi="Arial" w:cs="Arial"/>
        </w:rPr>
        <w:t>„</w:t>
      </w:r>
      <w:r w:rsidR="00146B90" w:rsidRPr="00B14C47">
        <w:rPr>
          <w:rFonts w:ascii="Arial" w:hAnsi="Arial" w:cs="Arial"/>
          <w:lang w:val="bg-BG"/>
        </w:rPr>
        <w:t xml:space="preserve">ИНФРА </w:t>
      </w:r>
      <w:proofErr w:type="gramStart"/>
      <w:r w:rsidR="00146B90" w:rsidRPr="00B14C47">
        <w:rPr>
          <w:rFonts w:ascii="Arial" w:hAnsi="Arial" w:cs="Arial"/>
          <w:lang w:val="bg-BG"/>
        </w:rPr>
        <w:t>ХОЛДИНГ“ АД</w:t>
      </w:r>
      <w:proofErr w:type="gramEnd"/>
    </w:p>
    <w:p w14:paraId="2BBF124B" w14:textId="77777777" w:rsidR="00B66DF8" w:rsidRPr="00B14C47" w:rsidRDefault="00B66DF8" w:rsidP="00B66DF8">
      <w:pPr>
        <w:jc w:val="center"/>
        <w:rPr>
          <w:rFonts w:ascii="Arial" w:hAnsi="Arial" w:cs="Arial"/>
          <w:sz w:val="20"/>
        </w:rPr>
      </w:pPr>
    </w:p>
    <w:p w14:paraId="5C2D8523" w14:textId="77777777" w:rsidR="00B66DF8" w:rsidRPr="00B14C47" w:rsidRDefault="00B66DF8" w:rsidP="00B66DF8">
      <w:pPr>
        <w:jc w:val="center"/>
        <w:rPr>
          <w:rFonts w:ascii="Arial" w:hAnsi="Arial" w:cs="Arial"/>
          <w:sz w:val="20"/>
        </w:rPr>
      </w:pPr>
    </w:p>
    <w:p w14:paraId="59596AE7" w14:textId="70C5F0CC" w:rsidR="00B66DF8" w:rsidRPr="00B14C47" w:rsidRDefault="006E7479" w:rsidP="00B66DF8">
      <w:pPr>
        <w:jc w:val="center"/>
        <w:rPr>
          <w:rFonts w:ascii="Arial" w:hAnsi="Arial" w:cs="Arial"/>
          <w:b/>
          <w:sz w:val="20"/>
        </w:rPr>
      </w:pPr>
      <w:bookmarkStart w:id="0" w:name="OLE_LINK2"/>
      <w:bookmarkStart w:id="1" w:name="OLE_LINK3"/>
      <w:r w:rsidRPr="00B14C47">
        <w:rPr>
          <w:rFonts w:ascii="Arial" w:hAnsi="Arial" w:cs="Arial"/>
          <w:b/>
          <w:sz w:val="20"/>
        </w:rPr>
        <w:t xml:space="preserve"> </w:t>
      </w:r>
      <w:r w:rsidR="00A80B93">
        <w:rPr>
          <w:rFonts w:ascii="Arial" w:hAnsi="Arial" w:cs="Arial"/>
          <w:b/>
          <w:sz w:val="20"/>
        </w:rPr>
        <w:t>МЕЖДИНЕН</w:t>
      </w:r>
      <w:r w:rsidR="00B66DF8" w:rsidRPr="00B14C47">
        <w:rPr>
          <w:rFonts w:ascii="Arial" w:hAnsi="Arial" w:cs="Arial"/>
          <w:b/>
          <w:sz w:val="20"/>
        </w:rPr>
        <w:t xml:space="preserve"> ФИНАНСОВ ОТЧЕТ</w:t>
      </w:r>
    </w:p>
    <w:p w14:paraId="5666FBEE" w14:textId="77777777" w:rsidR="00B66DF8" w:rsidRPr="00B14C47" w:rsidRDefault="00B66DF8" w:rsidP="00B66DF8">
      <w:pPr>
        <w:jc w:val="center"/>
        <w:rPr>
          <w:rFonts w:ascii="Arial" w:hAnsi="Arial" w:cs="Arial"/>
          <w:b/>
          <w:sz w:val="20"/>
        </w:rPr>
      </w:pPr>
    </w:p>
    <w:bookmarkEnd w:id="0"/>
    <w:bookmarkEnd w:id="1"/>
    <w:p w14:paraId="47DBB566" w14:textId="77777777" w:rsidR="00B66DF8" w:rsidRPr="00B14C47" w:rsidRDefault="00B66DF8" w:rsidP="00B66DF8">
      <w:pPr>
        <w:rPr>
          <w:rFonts w:ascii="Arial" w:hAnsi="Arial" w:cs="Arial"/>
          <w:b/>
          <w:sz w:val="20"/>
        </w:rPr>
      </w:pPr>
    </w:p>
    <w:p w14:paraId="52CADF06" w14:textId="77777777" w:rsidR="00B66DF8" w:rsidRPr="00B14C47" w:rsidRDefault="00B66DF8" w:rsidP="00B66DF8">
      <w:pPr>
        <w:rPr>
          <w:rFonts w:ascii="Arial" w:hAnsi="Arial" w:cs="Arial"/>
          <w:b/>
          <w:sz w:val="20"/>
        </w:rPr>
      </w:pPr>
    </w:p>
    <w:p w14:paraId="4BDAC245" w14:textId="77777777" w:rsidR="00B66DF8" w:rsidRPr="00B14C47" w:rsidRDefault="00B66DF8" w:rsidP="00B66DF8">
      <w:pPr>
        <w:rPr>
          <w:rFonts w:ascii="Arial" w:hAnsi="Arial" w:cs="Arial"/>
          <w:sz w:val="20"/>
        </w:rPr>
      </w:pPr>
    </w:p>
    <w:p w14:paraId="225BA9C9" w14:textId="77777777" w:rsidR="00B66DF8" w:rsidRPr="00B14C47" w:rsidRDefault="00B66DF8" w:rsidP="00B66DF8">
      <w:pPr>
        <w:rPr>
          <w:rFonts w:ascii="Arial" w:hAnsi="Arial" w:cs="Arial"/>
          <w:sz w:val="20"/>
        </w:rPr>
      </w:pPr>
    </w:p>
    <w:p w14:paraId="318D39E5" w14:textId="77777777" w:rsidR="00B66DF8" w:rsidRPr="00B14C47" w:rsidRDefault="00B66DF8" w:rsidP="00B66DF8">
      <w:pPr>
        <w:rPr>
          <w:rFonts w:ascii="Arial" w:hAnsi="Arial" w:cs="Arial"/>
          <w:sz w:val="20"/>
        </w:rPr>
      </w:pPr>
    </w:p>
    <w:p w14:paraId="11F2D0AC" w14:textId="77777777" w:rsidR="00B66DF8" w:rsidRPr="00B14C47" w:rsidRDefault="00B66DF8" w:rsidP="00B66DF8">
      <w:pPr>
        <w:rPr>
          <w:rFonts w:ascii="Arial" w:hAnsi="Arial" w:cs="Arial"/>
          <w:sz w:val="20"/>
        </w:rPr>
      </w:pPr>
    </w:p>
    <w:p w14:paraId="2B3C1F17" w14:textId="48105A3D" w:rsidR="00B66DF8" w:rsidRPr="00B14C47" w:rsidRDefault="006E7479" w:rsidP="00B66DF8">
      <w:pPr>
        <w:rPr>
          <w:rFonts w:ascii="Arial" w:hAnsi="Arial" w:cs="Arial"/>
          <w:b/>
          <w:sz w:val="20"/>
        </w:rPr>
      </w:pPr>
      <w:r w:rsidRPr="00B14C47">
        <w:rPr>
          <w:rFonts w:ascii="Arial" w:hAnsi="Arial" w:cs="Arial"/>
          <w:b/>
          <w:sz w:val="20"/>
        </w:rPr>
        <w:t>Индивидуалният</w:t>
      </w:r>
      <w:r w:rsidRPr="00B14C47">
        <w:rPr>
          <w:rFonts w:ascii="Arial" w:hAnsi="Arial" w:cs="Arial"/>
          <w:b/>
          <w:color w:val="FF0000"/>
          <w:sz w:val="20"/>
        </w:rPr>
        <w:t xml:space="preserve"> </w:t>
      </w:r>
      <w:r w:rsidR="002848F9" w:rsidRPr="00B14C47">
        <w:rPr>
          <w:rFonts w:ascii="Arial" w:hAnsi="Arial" w:cs="Arial"/>
          <w:b/>
          <w:sz w:val="20"/>
        </w:rPr>
        <w:t xml:space="preserve"> </w:t>
      </w:r>
      <w:r w:rsidR="004A1205">
        <w:rPr>
          <w:rFonts w:ascii="Arial" w:hAnsi="Arial" w:cs="Arial"/>
          <w:b/>
          <w:sz w:val="20"/>
        </w:rPr>
        <w:t xml:space="preserve">годишен </w:t>
      </w:r>
      <w:r w:rsidR="00B66DF8" w:rsidRPr="00B14C47">
        <w:rPr>
          <w:rFonts w:ascii="Arial" w:hAnsi="Arial" w:cs="Arial"/>
          <w:b/>
          <w:sz w:val="20"/>
        </w:rPr>
        <w:t xml:space="preserve">финансов отчет за </w:t>
      </w:r>
      <w:r w:rsidR="002848F9" w:rsidRPr="00B14C47">
        <w:rPr>
          <w:rFonts w:ascii="Arial" w:hAnsi="Arial" w:cs="Arial"/>
          <w:b/>
          <w:sz w:val="20"/>
        </w:rPr>
        <w:t>периода</w:t>
      </w:r>
      <w:r w:rsidR="00B66DF8" w:rsidRPr="00B14C47">
        <w:rPr>
          <w:rFonts w:ascii="Arial" w:hAnsi="Arial" w:cs="Arial"/>
          <w:b/>
          <w:sz w:val="20"/>
        </w:rPr>
        <w:t>, завършващ</w:t>
      </w:r>
      <w:r w:rsidR="002848F9" w:rsidRPr="00B14C47">
        <w:rPr>
          <w:rFonts w:ascii="Arial" w:hAnsi="Arial" w:cs="Arial"/>
          <w:b/>
          <w:sz w:val="20"/>
        </w:rPr>
        <w:t xml:space="preserve"> </w:t>
      </w:r>
      <w:r w:rsidR="00B66DF8" w:rsidRPr="00B14C47">
        <w:rPr>
          <w:rFonts w:ascii="Arial" w:hAnsi="Arial" w:cs="Arial"/>
          <w:b/>
          <w:sz w:val="20"/>
        </w:rPr>
        <w:t xml:space="preserve">на </w:t>
      </w:r>
      <w:r w:rsidR="0046182B">
        <w:rPr>
          <w:rFonts w:ascii="Arial" w:hAnsi="Arial" w:cs="Arial"/>
          <w:b/>
          <w:sz w:val="20"/>
          <w:lang w:val="en-US"/>
        </w:rPr>
        <w:t>3</w:t>
      </w:r>
      <w:r w:rsidR="0046182B">
        <w:rPr>
          <w:rFonts w:ascii="Arial" w:hAnsi="Arial" w:cs="Arial"/>
          <w:b/>
          <w:sz w:val="20"/>
        </w:rPr>
        <w:t>0</w:t>
      </w:r>
      <w:r w:rsidR="00B66DF8" w:rsidRPr="00B14C47">
        <w:rPr>
          <w:rFonts w:ascii="Arial" w:hAnsi="Arial" w:cs="Arial"/>
          <w:b/>
          <w:sz w:val="20"/>
        </w:rPr>
        <w:t xml:space="preserve"> </w:t>
      </w:r>
      <w:r w:rsidR="0046182B">
        <w:rPr>
          <w:rFonts w:ascii="Arial" w:hAnsi="Arial" w:cs="Arial"/>
          <w:b/>
          <w:sz w:val="20"/>
        </w:rPr>
        <w:t>Юни</w:t>
      </w:r>
      <w:r w:rsidR="00B66DF8" w:rsidRPr="00B14C47">
        <w:rPr>
          <w:rFonts w:ascii="Arial" w:hAnsi="Arial" w:cs="Arial"/>
          <w:b/>
          <w:sz w:val="20"/>
        </w:rPr>
        <w:t xml:space="preserve"> </w:t>
      </w:r>
      <w:r w:rsidR="002540C6" w:rsidRPr="00B14C47">
        <w:rPr>
          <w:rFonts w:ascii="Arial" w:hAnsi="Arial" w:cs="Arial"/>
          <w:b/>
          <w:sz w:val="20"/>
        </w:rPr>
        <w:t>20</w:t>
      </w:r>
      <w:r w:rsidR="00DB56EE" w:rsidRPr="00B14C47">
        <w:rPr>
          <w:rFonts w:ascii="Arial" w:hAnsi="Arial" w:cs="Arial"/>
          <w:b/>
          <w:sz w:val="20"/>
        </w:rPr>
        <w:t>2</w:t>
      </w:r>
      <w:r w:rsidR="00A80B93">
        <w:rPr>
          <w:rFonts w:ascii="Arial" w:hAnsi="Arial" w:cs="Arial"/>
          <w:b/>
          <w:sz w:val="20"/>
        </w:rPr>
        <w:t>4</w:t>
      </w:r>
      <w:r w:rsidR="002540C6" w:rsidRPr="00B14C47">
        <w:rPr>
          <w:rFonts w:ascii="Arial" w:hAnsi="Arial" w:cs="Arial"/>
          <w:b/>
          <w:sz w:val="20"/>
        </w:rPr>
        <w:t xml:space="preserve"> </w:t>
      </w:r>
      <w:r w:rsidR="00B66DF8" w:rsidRPr="00B14C47">
        <w:rPr>
          <w:rFonts w:ascii="Arial" w:hAnsi="Arial" w:cs="Arial"/>
          <w:b/>
          <w:sz w:val="20"/>
        </w:rPr>
        <w:t xml:space="preserve">с приложенията към него от </w:t>
      </w:r>
      <w:r w:rsidR="00B66DF8" w:rsidRPr="0067669F">
        <w:rPr>
          <w:rFonts w:ascii="Arial" w:hAnsi="Arial" w:cs="Arial"/>
          <w:b/>
          <w:sz w:val="20"/>
        </w:rPr>
        <w:t xml:space="preserve">страница </w:t>
      </w:r>
      <w:r w:rsidR="00F06B46" w:rsidRPr="0067669F">
        <w:rPr>
          <w:rFonts w:ascii="Arial" w:hAnsi="Arial" w:cs="Arial"/>
          <w:b/>
          <w:sz w:val="20"/>
        </w:rPr>
        <w:t>9</w:t>
      </w:r>
      <w:r w:rsidR="00B66DF8" w:rsidRPr="0067669F">
        <w:rPr>
          <w:rFonts w:ascii="Arial" w:hAnsi="Arial" w:cs="Arial"/>
          <w:b/>
          <w:sz w:val="20"/>
        </w:rPr>
        <w:t xml:space="preserve"> до страница </w:t>
      </w:r>
      <w:r w:rsidR="00663CB5" w:rsidRPr="0067669F">
        <w:rPr>
          <w:rFonts w:ascii="Arial" w:hAnsi="Arial" w:cs="Arial"/>
          <w:b/>
          <w:sz w:val="20"/>
        </w:rPr>
        <w:t>4</w:t>
      </w:r>
      <w:r w:rsidR="00F06B46" w:rsidRPr="0067669F">
        <w:rPr>
          <w:rFonts w:ascii="Arial" w:hAnsi="Arial" w:cs="Arial"/>
          <w:b/>
          <w:sz w:val="20"/>
        </w:rPr>
        <w:t>1</w:t>
      </w:r>
      <w:r w:rsidR="007F67D2" w:rsidRPr="0067669F">
        <w:rPr>
          <w:rFonts w:ascii="Arial" w:hAnsi="Arial" w:cs="Arial"/>
          <w:b/>
          <w:sz w:val="20"/>
        </w:rPr>
        <w:t xml:space="preserve"> </w:t>
      </w:r>
      <w:r w:rsidR="00B66DF8" w:rsidRPr="0067669F">
        <w:rPr>
          <w:rFonts w:ascii="Arial" w:hAnsi="Arial" w:cs="Arial"/>
          <w:b/>
          <w:sz w:val="20"/>
        </w:rPr>
        <w:t>са одобрени</w:t>
      </w:r>
      <w:r w:rsidR="00B66DF8" w:rsidRPr="00F06B46">
        <w:rPr>
          <w:rFonts w:ascii="Arial" w:hAnsi="Arial" w:cs="Arial"/>
          <w:b/>
          <w:sz w:val="20"/>
        </w:rPr>
        <w:t xml:space="preserve"> от Съвета</w:t>
      </w:r>
      <w:r w:rsidR="00B66DF8" w:rsidRPr="00B14C47">
        <w:rPr>
          <w:rFonts w:ascii="Arial" w:hAnsi="Arial" w:cs="Arial"/>
          <w:b/>
          <w:sz w:val="20"/>
        </w:rPr>
        <w:t xml:space="preserve"> на директорите на </w:t>
      </w:r>
      <w:r w:rsidRPr="00B14C47">
        <w:rPr>
          <w:rFonts w:ascii="Arial" w:hAnsi="Arial" w:cs="Arial"/>
          <w:b/>
        </w:rPr>
        <w:t>„ИНФРА ХОЛДИНГ“ АД</w:t>
      </w:r>
      <w:r w:rsidRPr="00B14C47">
        <w:rPr>
          <w:rFonts w:ascii="Arial" w:hAnsi="Arial" w:cs="Arial"/>
          <w:b/>
          <w:sz w:val="20"/>
        </w:rPr>
        <w:t xml:space="preserve"> </w:t>
      </w:r>
      <w:r w:rsidR="00B66DF8" w:rsidRPr="00B14C47">
        <w:rPr>
          <w:rFonts w:ascii="Arial" w:hAnsi="Arial" w:cs="Arial"/>
          <w:b/>
          <w:sz w:val="20"/>
        </w:rPr>
        <w:t>и подписани от:</w:t>
      </w:r>
    </w:p>
    <w:p w14:paraId="3C818F92" w14:textId="77777777" w:rsidR="00B66DF8" w:rsidRPr="00B14C47" w:rsidRDefault="00B66DF8" w:rsidP="00B66DF8">
      <w:pPr>
        <w:rPr>
          <w:rFonts w:ascii="Arial" w:hAnsi="Arial" w:cs="Arial"/>
          <w:b/>
          <w:sz w:val="20"/>
        </w:rPr>
      </w:pPr>
    </w:p>
    <w:p w14:paraId="516DA230" w14:textId="77777777" w:rsidR="00B66DF8" w:rsidRPr="00B14C47" w:rsidRDefault="00B66DF8" w:rsidP="00B66DF8">
      <w:pPr>
        <w:rPr>
          <w:rFonts w:ascii="Arial" w:hAnsi="Arial" w:cs="Arial"/>
          <w:b/>
          <w:sz w:val="20"/>
        </w:rPr>
      </w:pPr>
    </w:p>
    <w:p w14:paraId="75F3F695" w14:textId="77777777" w:rsidR="002848F9" w:rsidRPr="00B14C47" w:rsidRDefault="002848F9" w:rsidP="00B66DF8">
      <w:pPr>
        <w:rPr>
          <w:rFonts w:ascii="Arial" w:hAnsi="Arial" w:cs="Arial"/>
          <w:b/>
          <w:sz w:val="20"/>
        </w:rPr>
      </w:pPr>
    </w:p>
    <w:p w14:paraId="2B47A898" w14:textId="77777777" w:rsidR="002848F9" w:rsidRPr="00B14C47" w:rsidRDefault="002848F9" w:rsidP="00B66DF8">
      <w:pPr>
        <w:rPr>
          <w:rFonts w:ascii="Arial" w:hAnsi="Arial" w:cs="Arial"/>
          <w:b/>
          <w:sz w:val="20"/>
        </w:rPr>
      </w:pPr>
    </w:p>
    <w:p w14:paraId="771B896F" w14:textId="77777777" w:rsidR="00B66DF8" w:rsidRPr="00B14C47" w:rsidRDefault="00B66DF8" w:rsidP="00B66DF8">
      <w:pPr>
        <w:rPr>
          <w:rFonts w:ascii="Arial" w:hAnsi="Arial" w:cs="Arial"/>
          <w:b/>
          <w:sz w:val="20"/>
        </w:rPr>
      </w:pPr>
    </w:p>
    <w:p w14:paraId="76746CB2" w14:textId="77777777" w:rsidR="00B66DF8" w:rsidRPr="00B14C47" w:rsidRDefault="00CE5F18" w:rsidP="00B66DF8">
      <w:pPr>
        <w:rPr>
          <w:rFonts w:ascii="Arial" w:hAnsi="Arial" w:cs="Arial"/>
          <w:b/>
          <w:sz w:val="20"/>
        </w:rPr>
      </w:pPr>
      <w:r w:rsidRPr="00B14C47">
        <w:rPr>
          <w:rFonts w:ascii="Arial" w:hAnsi="Arial" w:cs="Arial"/>
          <w:b/>
          <w:sz w:val="20"/>
        </w:rPr>
        <w:t>Председател и и</w:t>
      </w:r>
      <w:r w:rsidR="006E7479" w:rsidRPr="00B14C47">
        <w:rPr>
          <w:rFonts w:ascii="Arial" w:hAnsi="Arial" w:cs="Arial"/>
          <w:b/>
          <w:sz w:val="20"/>
        </w:rPr>
        <w:t xml:space="preserve">зпълнителен </w:t>
      </w:r>
      <w:r w:rsidRPr="00B14C47">
        <w:rPr>
          <w:rFonts w:ascii="Arial" w:hAnsi="Arial" w:cs="Arial"/>
          <w:b/>
          <w:sz w:val="20"/>
        </w:rPr>
        <w:t>член на СД</w:t>
      </w:r>
      <w:r w:rsidR="00B66DF8" w:rsidRPr="00B14C47">
        <w:rPr>
          <w:rFonts w:ascii="Arial" w:hAnsi="Arial" w:cs="Arial"/>
          <w:b/>
          <w:sz w:val="20"/>
        </w:rPr>
        <w:t xml:space="preserve">: </w:t>
      </w:r>
      <w:r w:rsidR="00B66DF8" w:rsidRPr="00B14C47">
        <w:rPr>
          <w:rFonts w:ascii="Arial" w:hAnsi="Arial" w:cs="Arial"/>
          <w:b/>
          <w:sz w:val="20"/>
        </w:rPr>
        <w:tab/>
      </w:r>
      <w:r w:rsidR="006E7479" w:rsidRPr="00B14C47">
        <w:rPr>
          <w:rFonts w:ascii="Arial" w:hAnsi="Arial" w:cs="Arial"/>
          <w:b/>
          <w:sz w:val="20"/>
        </w:rPr>
        <w:tab/>
      </w:r>
      <w:r w:rsidR="006E7479" w:rsidRPr="00B14C47">
        <w:rPr>
          <w:rFonts w:ascii="Arial" w:hAnsi="Arial" w:cs="Arial"/>
          <w:b/>
          <w:sz w:val="20"/>
        </w:rPr>
        <w:tab/>
      </w:r>
      <w:r w:rsidR="00B66DF8" w:rsidRPr="00B14C47">
        <w:rPr>
          <w:rFonts w:ascii="Arial" w:hAnsi="Arial" w:cs="Arial"/>
          <w:b/>
          <w:sz w:val="20"/>
        </w:rPr>
        <w:t>Съставител:</w:t>
      </w:r>
    </w:p>
    <w:p w14:paraId="6B7ACECA" w14:textId="77777777" w:rsidR="00B66DF8" w:rsidRPr="00B14C47" w:rsidRDefault="00B66DF8" w:rsidP="00B66DF8">
      <w:pPr>
        <w:rPr>
          <w:rFonts w:ascii="Arial" w:hAnsi="Arial" w:cs="Arial"/>
          <w:b/>
          <w:sz w:val="20"/>
        </w:rPr>
      </w:pPr>
    </w:p>
    <w:p w14:paraId="615C0B66" w14:textId="77777777" w:rsidR="00B66DF8" w:rsidRPr="00B14C47" w:rsidRDefault="00B66DF8" w:rsidP="00B66DF8">
      <w:pPr>
        <w:rPr>
          <w:rFonts w:ascii="Arial" w:hAnsi="Arial" w:cs="Arial"/>
          <w:sz w:val="20"/>
        </w:rPr>
      </w:pPr>
      <w:r w:rsidRPr="00B14C47">
        <w:rPr>
          <w:rFonts w:ascii="Arial" w:hAnsi="Arial" w:cs="Arial"/>
          <w:b/>
          <w:sz w:val="20"/>
        </w:rPr>
        <w:t>___________________</w:t>
      </w:r>
      <w:r w:rsidRPr="00B14C47">
        <w:rPr>
          <w:rFonts w:ascii="Arial" w:hAnsi="Arial" w:cs="Arial"/>
          <w:b/>
          <w:sz w:val="20"/>
        </w:rPr>
        <w:tab/>
      </w:r>
      <w:r w:rsidRPr="00B14C47">
        <w:rPr>
          <w:rFonts w:ascii="Arial" w:hAnsi="Arial" w:cs="Arial"/>
          <w:b/>
          <w:sz w:val="20"/>
        </w:rPr>
        <w:tab/>
      </w:r>
      <w:r w:rsidRPr="00B14C47">
        <w:rPr>
          <w:rFonts w:ascii="Arial" w:hAnsi="Arial" w:cs="Arial"/>
          <w:b/>
          <w:sz w:val="20"/>
        </w:rPr>
        <w:tab/>
      </w:r>
      <w:r w:rsidRPr="00B14C47">
        <w:rPr>
          <w:rFonts w:ascii="Arial" w:hAnsi="Arial" w:cs="Arial"/>
          <w:b/>
          <w:sz w:val="20"/>
        </w:rPr>
        <w:tab/>
      </w:r>
      <w:r w:rsidRPr="00B14C47">
        <w:rPr>
          <w:rFonts w:ascii="Arial" w:hAnsi="Arial" w:cs="Arial"/>
          <w:b/>
          <w:sz w:val="20"/>
        </w:rPr>
        <w:tab/>
      </w:r>
      <w:r w:rsidR="006E7479" w:rsidRPr="00B14C47">
        <w:rPr>
          <w:rFonts w:ascii="Arial" w:hAnsi="Arial" w:cs="Arial"/>
          <w:b/>
          <w:sz w:val="20"/>
        </w:rPr>
        <w:tab/>
      </w:r>
      <w:r w:rsidRPr="00B14C47">
        <w:rPr>
          <w:rFonts w:ascii="Arial" w:hAnsi="Arial" w:cs="Arial"/>
          <w:b/>
          <w:sz w:val="20"/>
        </w:rPr>
        <w:t>__________________</w:t>
      </w:r>
    </w:p>
    <w:p w14:paraId="232E372D" w14:textId="77777777" w:rsidR="00B66DF8" w:rsidRPr="00B14C47" w:rsidRDefault="00B66DF8" w:rsidP="00B66DF8">
      <w:pPr>
        <w:rPr>
          <w:rFonts w:ascii="Arial" w:hAnsi="Arial" w:cs="Arial"/>
          <w:sz w:val="20"/>
        </w:rPr>
      </w:pPr>
    </w:p>
    <w:p w14:paraId="1D0BB3A0" w14:textId="7D734D1E" w:rsidR="00A82076" w:rsidRDefault="006E7479" w:rsidP="00B66DF8">
      <w:pPr>
        <w:rPr>
          <w:rFonts w:ascii="Arial" w:hAnsi="Arial" w:cs="Arial"/>
          <w:b/>
          <w:sz w:val="20"/>
        </w:rPr>
      </w:pPr>
      <w:r w:rsidRPr="00B14C47">
        <w:rPr>
          <w:rFonts w:ascii="Arial" w:hAnsi="Arial" w:cs="Arial"/>
          <w:b/>
          <w:sz w:val="20"/>
        </w:rPr>
        <w:t>Антон Божков</w:t>
      </w:r>
      <w:r w:rsidR="00B66DF8" w:rsidRPr="00B14C47">
        <w:rPr>
          <w:rFonts w:ascii="Arial" w:hAnsi="Arial" w:cs="Arial"/>
          <w:b/>
          <w:sz w:val="20"/>
        </w:rPr>
        <w:t xml:space="preserve">                                                    </w:t>
      </w:r>
      <w:r w:rsidR="00A82076" w:rsidRPr="00B14C47">
        <w:rPr>
          <w:rFonts w:ascii="Arial" w:hAnsi="Arial" w:cs="Arial"/>
          <w:b/>
          <w:sz w:val="20"/>
        </w:rPr>
        <w:tab/>
      </w:r>
      <w:r w:rsidR="00A82076" w:rsidRPr="00B14C47">
        <w:rPr>
          <w:rFonts w:ascii="Arial" w:hAnsi="Arial" w:cs="Arial"/>
          <w:b/>
          <w:sz w:val="20"/>
        </w:rPr>
        <w:tab/>
      </w:r>
      <w:r w:rsidRPr="00B14C47">
        <w:rPr>
          <w:rFonts w:ascii="Arial" w:hAnsi="Arial" w:cs="Arial"/>
          <w:b/>
          <w:sz w:val="20"/>
        </w:rPr>
        <w:t>„ФИСКОНСУЛТИНГ“ ООД</w:t>
      </w:r>
      <w:r w:rsidR="00F06B46">
        <w:rPr>
          <w:rFonts w:ascii="Arial" w:hAnsi="Arial" w:cs="Arial"/>
          <w:b/>
          <w:sz w:val="20"/>
        </w:rPr>
        <w:t xml:space="preserve"> </w:t>
      </w:r>
    </w:p>
    <w:p w14:paraId="4B62624C" w14:textId="538ECD1E" w:rsidR="00F06B46" w:rsidRPr="00B14C47" w:rsidRDefault="00F06B46" w:rsidP="00B66DF8">
      <w:pPr>
        <w:rPr>
          <w:rFonts w:ascii="Arial" w:hAnsi="Arial" w:cs="Arial"/>
          <w:b/>
          <w:sz w:val="20"/>
        </w:rPr>
      </w:pPr>
      <w:r>
        <w:rPr>
          <w:rFonts w:ascii="Arial" w:hAnsi="Arial" w:cs="Arial"/>
          <w:b/>
          <w:sz w:val="20"/>
        </w:rPr>
        <w:t xml:space="preserve">                                                                                                 /Татяна Христова Димитрова/</w:t>
      </w:r>
    </w:p>
    <w:p w14:paraId="64F6C6A8" w14:textId="77777777" w:rsidR="00A82076" w:rsidRPr="00B14C47" w:rsidRDefault="00A82076" w:rsidP="00B66DF8">
      <w:pPr>
        <w:rPr>
          <w:rFonts w:ascii="Arial" w:hAnsi="Arial" w:cs="Arial"/>
          <w:b/>
          <w:sz w:val="20"/>
        </w:rPr>
      </w:pPr>
    </w:p>
    <w:p w14:paraId="6A300A73" w14:textId="77777777" w:rsidR="00A82076" w:rsidRPr="00B14C47" w:rsidRDefault="00A82076" w:rsidP="00B66DF8">
      <w:pPr>
        <w:rPr>
          <w:rFonts w:ascii="Arial" w:hAnsi="Arial" w:cs="Arial"/>
          <w:b/>
          <w:sz w:val="20"/>
        </w:rPr>
      </w:pPr>
    </w:p>
    <w:p w14:paraId="500DBB70" w14:textId="77777777" w:rsidR="00A82076" w:rsidRPr="00B14C47" w:rsidRDefault="00A82076" w:rsidP="00B66DF8">
      <w:pPr>
        <w:rPr>
          <w:rFonts w:ascii="Arial" w:hAnsi="Arial" w:cs="Arial"/>
          <w:b/>
          <w:sz w:val="20"/>
        </w:rPr>
      </w:pPr>
    </w:p>
    <w:p w14:paraId="39DC937A" w14:textId="77777777" w:rsidR="00A82076" w:rsidRPr="00B14C47" w:rsidRDefault="00A82076" w:rsidP="00B66DF8">
      <w:pPr>
        <w:rPr>
          <w:rFonts w:ascii="Arial" w:hAnsi="Arial" w:cs="Arial"/>
          <w:b/>
          <w:sz w:val="20"/>
        </w:rPr>
      </w:pPr>
    </w:p>
    <w:p w14:paraId="5E12765A" w14:textId="77777777" w:rsidR="00A82076" w:rsidRPr="00B14C47" w:rsidRDefault="00A82076" w:rsidP="00B66DF8">
      <w:pPr>
        <w:rPr>
          <w:rFonts w:ascii="Arial" w:hAnsi="Arial" w:cs="Arial"/>
          <w:b/>
          <w:sz w:val="20"/>
        </w:rPr>
      </w:pPr>
    </w:p>
    <w:p w14:paraId="05533C08" w14:textId="77777777" w:rsidR="00A82076" w:rsidRPr="00B14C47" w:rsidRDefault="00A82076" w:rsidP="00B66DF8">
      <w:pPr>
        <w:rPr>
          <w:rFonts w:ascii="Arial" w:hAnsi="Arial" w:cs="Arial"/>
          <w:b/>
          <w:sz w:val="20"/>
        </w:rPr>
      </w:pPr>
    </w:p>
    <w:p w14:paraId="6532B082" w14:textId="77777777" w:rsidR="00A82076" w:rsidRPr="00B14C47" w:rsidRDefault="00A82076" w:rsidP="00B66DF8">
      <w:pPr>
        <w:rPr>
          <w:rFonts w:ascii="Arial" w:hAnsi="Arial" w:cs="Arial"/>
          <w:b/>
          <w:sz w:val="20"/>
        </w:rPr>
      </w:pPr>
    </w:p>
    <w:p w14:paraId="64AA4E81" w14:textId="77777777" w:rsidR="00A82076" w:rsidRPr="00B14C47" w:rsidRDefault="00A82076" w:rsidP="00B66DF8">
      <w:pPr>
        <w:rPr>
          <w:rFonts w:ascii="Arial" w:hAnsi="Arial" w:cs="Arial"/>
          <w:b/>
          <w:sz w:val="20"/>
        </w:rPr>
      </w:pPr>
    </w:p>
    <w:p w14:paraId="74929E8D" w14:textId="77777777" w:rsidR="00A82076" w:rsidRPr="00B14C47" w:rsidRDefault="00A82076" w:rsidP="00B66DF8">
      <w:pPr>
        <w:rPr>
          <w:rFonts w:ascii="Arial" w:hAnsi="Arial" w:cs="Arial"/>
          <w:b/>
          <w:sz w:val="20"/>
        </w:rPr>
      </w:pPr>
    </w:p>
    <w:p w14:paraId="37D97272" w14:textId="77777777" w:rsidR="00B66DF8" w:rsidRPr="00B14C47" w:rsidRDefault="00B66DF8" w:rsidP="00B66DF8">
      <w:pPr>
        <w:rPr>
          <w:rFonts w:ascii="Arial" w:hAnsi="Arial" w:cs="Arial"/>
          <w:b/>
          <w:sz w:val="20"/>
        </w:rPr>
      </w:pPr>
    </w:p>
    <w:p w14:paraId="2C08568F" w14:textId="77777777" w:rsidR="00B66DF8" w:rsidRPr="00B14C47" w:rsidRDefault="00B66DF8" w:rsidP="00B66DF8">
      <w:pPr>
        <w:rPr>
          <w:rFonts w:ascii="Arial" w:hAnsi="Arial" w:cs="Arial"/>
          <w:sz w:val="20"/>
        </w:rPr>
      </w:pPr>
    </w:p>
    <w:p w14:paraId="56ED68F1" w14:textId="4FE566E0" w:rsidR="00B66DF8" w:rsidRPr="00B14C47" w:rsidRDefault="00B66DF8" w:rsidP="00B66DF8">
      <w:pPr>
        <w:jc w:val="center"/>
        <w:rPr>
          <w:rFonts w:ascii="Arial" w:hAnsi="Arial" w:cs="Arial"/>
          <w:b/>
          <w:sz w:val="20"/>
        </w:rPr>
      </w:pPr>
      <w:r w:rsidRPr="00B14C47">
        <w:rPr>
          <w:rFonts w:ascii="Arial" w:hAnsi="Arial" w:cs="Arial"/>
          <w:b/>
          <w:sz w:val="20"/>
        </w:rPr>
        <w:t>София, м</w:t>
      </w:r>
      <w:r w:rsidR="00A315DF" w:rsidRPr="00B14C47">
        <w:rPr>
          <w:rFonts w:ascii="Arial" w:hAnsi="Arial" w:cs="Arial"/>
          <w:b/>
          <w:sz w:val="20"/>
        </w:rPr>
        <w:t>.</w:t>
      </w:r>
      <w:r w:rsidR="00D635E3" w:rsidRPr="00B14C47">
        <w:rPr>
          <w:rFonts w:ascii="Arial" w:hAnsi="Arial" w:cs="Arial"/>
          <w:b/>
          <w:sz w:val="20"/>
        </w:rPr>
        <w:t xml:space="preserve"> </w:t>
      </w:r>
      <w:r w:rsidR="0046182B">
        <w:rPr>
          <w:rFonts w:ascii="Arial" w:hAnsi="Arial" w:cs="Arial"/>
          <w:b/>
          <w:sz w:val="20"/>
        </w:rPr>
        <w:t>Юли</w:t>
      </w:r>
      <w:r w:rsidR="00060BBB" w:rsidRPr="00B14C47">
        <w:rPr>
          <w:rFonts w:ascii="Arial" w:hAnsi="Arial" w:cs="Arial"/>
          <w:b/>
          <w:sz w:val="20"/>
        </w:rPr>
        <w:t xml:space="preserve"> </w:t>
      </w:r>
      <w:r w:rsidR="0067707B" w:rsidRPr="00B14C47">
        <w:rPr>
          <w:rFonts w:ascii="Arial" w:hAnsi="Arial" w:cs="Arial"/>
          <w:b/>
          <w:sz w:val="20"/>
          <w:lang w:val="en-US"/>
        </w:rPr>
        <w:t xml:space="preserve"> </w:t>
      </w:r>
      <w:r w:rsidR="002540C6" w:rsidRPr="00B14C47">
        <w:rPr>
          <w:rFonts w:ascii="Arial" w:hAnsi="Arial" w:cs="Arial"/>
          <w:b/>
          <w:sz w:val="20"/>
        </w:rPr>
        <w:t>20</w:t>
      </w:r>
      <w:r w:rsidR="00DB56EE" w:rsidRPr="00B14C47">
        <w:rPr>
          <w:rFonts w:ascii="Arial" w:hAnsi="Arial" w:cs="Arial"/>
          <w:b/>
          <w:sz w:val="20"/>
        </w:rPr>
        <w:t>2</w:t>
      </w:r>
      <w:r w:rsidR="008056B7">
        <w:rPr>
          <w:rFonts w:ascii="Arial" w:hAnsi="Arial" w:cs="Arial"/>
          <w:b/>
          <w:sz w:val="20"/>
        </w:rPr>
        <w:t>4</w:t>
      </w:r>
      <w:r w:rsidR="002540C6" w:rsidRPr="00B14C47">
        <w:rPr>
          <w:rFonts w:ascii="Arial" w:hAnsi="Arial" w:cs="Arial"/>
          <w:b/>
          <w:sz w:val="20"/>
        </w:rPr>
        <w:t>г</w:t>
      </w:r>
      <w:r w:rsidRPr="00B14C47">
        <w:rPr>
          <w:rFonts w:ascii="Arial" w:hAnsi="Arial" w:cs="Arial"/>
          <w:b/>
          <w:sz w:val="20"/>
        </w:rPr>
        <w:t>.</w:t>
      </w:r>
    </w:p>
    <w:p w14:paraId="6CDFB9D8" w14:textId="77777777" w:rsidR="00FB0D5A" w:rsidRPr="00B14C47" w:rsidRDefault="00FB0D5A" w:rsidP="00B66DF8">
      <w:pPr>
        <w:jc w:val="center"/>
        <w:rPr>
          <w:rFonts w:ascii="Arial" w:hAnsi="Arial" w:cs="Arial"/>
          <w:b/>
          <w:sz w:val="20"/>
        </w:rPr>
      </w:pPr>
    </w:p>
    <w:p w14:paraId="5DE97A92" w14:textId="77777777" w:rsidR="00FB0D5A" w:rsidRPr="00B14C47" w:rsidRDefault="00FB0D5A" w:rsidP="00B66DF8">
      <w:pPr>
        <w:jc w:val="center"/>
        <w:rPr>
          <w:rFonts w:ascii="Arial" w:hAnsi="Arial" w:cs="Arial"/>
          <w:b/>
          <w:sz w:val="20"/>
        </w:rPr>
      </w:pPr>
    </w:p>
    <w:p w14:paraId="61100A7B" w14:textId="77777777" w:rsidR="00FB0D5A" w:rsidRPr="00B14C47" w:rsidRDefault="00FB0D5A" w:rsidP="00B66DF8">
      <w:pPr>
        <w:jc w:val="center"/>
        <w:rPr>
          <w:rFonts w:ascii="Arial" w:hAnsi="Arial" w:cs="Arial"/>
          <w:b/>
          <w:sz w:val="20"/>
        </w:rPr>
      </w:pPr>
    </w:p>
    <w:p w14:paraId="3F6EE98D" w14:textId="77777777" w:rsidR="00FB0D5A" w:rsidRPr="00B14C47" w:rsidRDefault="00FB0D5A" w:rsidP="00B66DF8">
      <w:pPr>
        <w:jc w:val="center"/>
        <w:rPr>
          <w:rFonts w:ascii="Arial" w:hAnsi="Arial" w:cs="Arial"/>
          <w:b/>
          <w:sz w:val="20"/>
        </w:rPr>
      </w:pPr>
    </w:p>
    <w:p w14:paraId="1D028A09" w14:textId="77777777" w:rsidR="00FB0D5A" w:rsidRPr="00B14C47" w:rsidRDefault="00FB0D5A" w:rsidP="00B66DF8">
      <w:pPr>
        <w:jc w:val="center"/>
        <w:rPr>
          <w:rFonts w:ascii="Arial" w:hAnsi="Arial" w:cs="Arial"/>
          <w:b/>
          <w:sz w:val="20"/>
        </w:rPr>
      </w:pPr>
    </w:p>
    <w:p w14:paraId="05763D83" w14:textId="77777777" w:rsidR="00FB0D5A" w:rsidRPr="00B14C47" w:rsidRDefault="00FB0D5A" w:rsidP="00B66DF8">
      <w:pPr>
        <w:jc w:val="center"/>
        <w:rPr>
          <w:rFonts w:ascii="Arial" w:hAnsi="Arial" w:cs="Arial"/>
          <w:b/>
          <w:sz w:val="20"/>
        </w:rPr>
      </w:pPr>
    </w:p>
    <w:p w14:paraId="24226D95" w14:textId="77777777" w:rsidR="00FB0D5A" w:rsidRPr="00B14C47" w:rsidRDefault="00FB0D5A" w:rsidP="00B66DF8">
      <w:pPr>
        <w:jc w:val="center"/>
        <w:rPr>
          <w:rFonts w:ascii="Arial" w:hAnsi="Arial" w:cs="Arial"/>
          <w:b/>
          <w:sz w:val="20"/>
        </w:rPr>
      </w:pPr>
    </w:p>
    <w:p w14:paraId="57D2C04C" w14:textId="77777777" w:rsidR="00FB0D5A" w:rsidRPr="00B14C47" w:rsidRDefault="00FB0D5A" w:rsidP="00B66DF8">
      <w:pPr>
        <w:jc w:val="center"/>
        <w:rPr>
          <w:rFonts w:ascii="Arial" w:hAnsi="Arial" w:cs="Arial"/>
          <w:b/>
          <w:sz w:val="20"/>
        </w:rPr>
      </w:pPr>
    </w:p>
    <w:p w14:paraId="4B281546" w14:textId="77777777" w:rsidR="00FB0D5A" w:rsidRPr="00B14C47" w:rsidRDefault="00FB0D5A" w:rsidP="00B66DF8">
      <w:pPr>
        <w:jc w:val="center"/>
        <w:rPr>
          <w:rFonts w:ascii="Arial" w:hAnsi="Arial" w:cs="Arial"/>
          <w:b/>
          <w:sz w:val="20"/>
        </w:rPr>
      </w:pPr>
    </w:p>
    <w:p w14:paraId="5BC50D52" w14:textId="77777777" w:rsidR="00FB0D5A" w:rsidRPr="00B14C47" w:rsidRDefault="00FB0D5A" w:rsidP="00B66DF8">
      <w:pPr>
        <w:jc w:val="center"/>
        <w:rPr>
          <w:rFonts w:ascii="Arial" w:hAnsi="Arial" w:cs="Arial"/>
          <w:b/>
          <w:sz w:val="20"/>
        </w:rPr>
      </w:pPr>
    </w:p>
    <w:p w14:paraId="319CFC66" w14:textId="77777777" w:rsidR="00FB0D5A" w:rsidRPr="00B14C47" w:rsidRDefault="00FB0D5A" w:rsidP="00B66DF8">
      <w:pPr>
        <w:jc w:val="center"/>
        <w:rPr>
          <w:rFonts w:ascii="Arial" w:hAnsi="Arial" w:cs="Arial"/>
          <w:b/>
          <w:sz w:val="20"/>
        </w:rPr>
      </w:pPr>
    </w:p>
    <w:p w14:paraId="6E8BA753" w14:textId="77777777" w:rsidR="00FB0D5A" w:rsidRPr="00B14C47" w:rsidRDefault="00FB0D5A" w:rsidP="00B66DF8">
      <w:pPr>
        <w:jc w:val="center"/>
        <w:rPr>
          <w:rFonts w:ascii="Arial" w:hAnsi="Arial" w:cs="Arial"/>
          <w:b/>
          <w:sz w:val="20"/>
        </w:rPr>
      </w:pPr>
    </w:p>
    <w:p w14:paraId="7E9F05EC" w14:textId="77777777" w:rsidR="00FB0D5A" w:rsidRPr="00B14C47" w:rsidRDefault="00FB0D5A" w:rsidP="00B66DF8">
      <w:pPr>
        <w:jc w:val="center"/>
        <w:rPr>
          <w:rFonts w:ascii="Arial" w:hAnsi="Arial" w:cs="Arial"/>
          <w:b/>
          <w:sz w:val="20"/>
        </w:rPr>
      </w:pPr>
    </w:p>
    <w:p w14:paraId="35B328CB" w14:textId="77777777" w:rsidR="00FB0D5A" w:rsidRPr="00B14C47" w:rsidRDefault="00FB0D5A" w:rsidP="00B66DF8">
      <w:pPr>
        <w:jc w:val="center"/>
        <w:rPr>
          <w:rFonts w:ascii="Arial" w:hAnsi="Arial" w:cs="Arial"/>
          <w:b/>
          <w:sz w:val="20"/>
        </w:rPr>
      </w:pPr>
    </w:p>
    <w:p w14:paraId="3530C98A" w14:textId="77777777" w:rsidR="00FB0D5A" w:rsidRPr="00B14C47" w:rsidRDefault="00FB0D5A" w:rsidP="00B66DF8">
      <w:pPr>
        <w:jc w:val="center"/>
        <w:rPr>
          <w:rFonts w:ascii="Arial" w:hAnsi="Arial" w:cs="Arial"/>
          <w:b/>
          <w:sz w:val="20"/>
        </w:rPr>
      </w:pPr>
    </w:p>
    <w:p w14:paraId="2BB08C26" w14:textId="77777777" w:rsidR="00FB0D5A" w:rsidRPr="00B14C47" w:rsidRDefault="00FB0D5A" w:rsidP="00B66DF8">
      <w:pPr>
        <w:jc w:val="center"/>
        <w:rPr>
          <w:rFonts w:ascii="Arial" w:hAnsi="Arial" w:cs="Arial"/>
          <w:b/>
          <w:sz w:val="20"/>
        </w:rPr>
      </w:pPr>
    </w:p>
    <w:p w14:paraId="2EFD5F8E" w14:textId="77777777" w:rsidR="00B66DF8" w:rsidRPr="00B14C47" w:rsidRDefault="00B66DF8" w:rsidP="00B66DF8">
      <w:pPr>
        <w:pStyle w:val="TOC1"/>
        <w:rPr>
          <w:rFonts w:ascii="Arial" w:hAnsi="Arial" w:cs="Arial"/>
          <w:b/>
          <w:sz w:val="20"/>
          <w:szCs w:val="20"/>
          <w:u w:val="single"/>
        </w:rPr>
      </w:pPr>
      <w:r w:rsidRPr="00B14C47">
        <w:rPr>
          <w:rFonts w:ascii="Arial" w:hAnsi="Arial" w:cs="Arial"/>
          <w:b/>
          <w:sz w:val="20"/>
          <w:szCs w:val="20"/>
          <w:u w:val="single"/>
        </w:rPr>
        <w:t>СЪДЪРЖАНИЕ</w:t>
      </w:r>
    </w:p>
    <w:p w14:paraId="57B6123B" w14:textId="77777777" w:rsidR="00B66DF8" w:rsidRPr="00B14C47" w:rsidRDefault="00B66DF8" w:rsidP="00B66DF8">
      <w:pPr>
        <w:rPr>
          <w:rFonts w:ascii="Arial" w:hAnsi="Arial" w:cs="Arial"/>
          <w:sz w:val="20"/>
        </w:rPr>
      </w:pPr>
      <w:r w:rsidRPr="00B14C47">
        <w:rPr>
          <w:rFonts w:ascii="Arial" w:hAnsi="Arial" w:cs="Arial"/>
          <w:sz w:val="20"/>
        </w:rPr>
        <w:t>Индивидуален</w:t>
      </w:r>
      <w:r w:rsidR="00AA2356" w:rsidRPr="00B14C47">
        <w:rPr>
          <w:rFonts w:ascii="Arial" w:hAnsi="Arial" w:cs="Arial"/>
          <w:sz w:val="20"/>
          <w:lang w:val="en-US"/>
        </w:rPr>
        <w:t xml:space="preserve"> </w:t>
      </w:r>
      <w:r w:rsidR="002E5246" w:rsidRPr="00B14C47">
        <w:rPr>
          <w:rFonts w:ascii="Arial" w:hAnsi="Arial" w:cs="Arial"/>
          <w:sz w:val="20"/>
        </w:rPr>
        <w:t xml:space="preserve">отчет </w:t>
      </w:r>
      <w:r w:rsidRPr="00B14C47">
        <w:rPr>
          <w:rFonts w:ascii="Arial" w:hAnsi="Arial" w:cs="Arial"/>
          <w:sz w:val="20"/>
        </w:rPr>
        <w:t>за печалбата или загубата и другия всеобхватен доход</w:t>
      </w:r>
    </w:p>
    <w:p w14:paraId="7EE653EC" w14:textId="77777777" w:rsidR="00B66DF8" w:rsidRPr="00B14C47" w:rsidRDefault="00B66DF8" w:rsidP="00B66DF8">
      <w:pPr>
        <w:rPr>
          <w:rFonts w:ascii="Arial" w:hAnsi="Arial" w:cs="Arial"/>
          <w:sz w:val="20"/>
        </w:rPr>
      </w:pPr>
      <w:r w:rsidRPr="00B14C47">
        <w:rPr>
          <w:rFonts w:ascii="Arial" w:hAnsi="Arial" w:cs="Arial"/>
          <w:sz w:val="20"/>
        </w:rPr>
        <w:t>Индивидуален</w:t>
      </w:r>
      <w:r w:rsidR="00AA2356" w:rsidRPr="00B14C47">
        <w:rPr>
          <w:rFonts w:ascii="Arial" w:hAnsi="Arial" w:cs="Arial"/>
          <w:sz w:val="20"/>
          <w:lang w:val="en-US"/>
        </w:rPr>
        <w:t xml:space="preserve"> </w:t>
      </w:r>
      <w:r w:rsidR="002E5246" w:rsidRPr="00B14C47">
        <w:rPr>
          <w:rFonts w:ascii="Arial" w:hAnsi="Arial" w:cs="Arial"/>
          <w:sz w:val="20"/>
        </w:rPr>
        <w:t xml:space="preserve">отчет </w:t>
      </w:r>
      <w:r w:rsidRPr="00B14C47">
        <w:rPr>
          <w:rFonts w:ascii="Arial" w:hAnsi="Arial" w:cs="Arial"/>
          <w:sz w:val="20"/>
        </w:rPr>
        <w:t>за финансовото състояние</w:t>
      </w:r>
    </w:p>
    <w:p w14:paraId="652E738D" w14:textId="77777777" w:rsidR="00B66DF8" w:rsidRPr="00B14C47" w:rsidRDefault="00B66DF8" w:rsidP="00B66DF8">
      <w:pPr>
        <w:rPr>
          <w:rFonts w:ascii="Arial" w:hAnsi="Arial" w:cs="Arial"/>
          <w:sz w:val="20"/>
        </w:rPr>
      </w:pPr>
      <w:r w:rsidRPr="00B14C47">
        <w:rPr>
          <w:rFonts w:ascii="Arial" w:hAnsi="Arial" w:cs="Arial"/>
          <w:sz w:val="20"/>
        </w:rPr>
        <w:t>Индивидуален</w:t>
      </w:r>
      <w:r w:rsidR="00AA2356" w:rsidRPr="00B14C47">
        <w:rPr>
          <w:rFonts w:ascii="Arial" w:hAnsi="Arial" w:cs="Arial"/>
          <w:sz w:val="20"/>
          <w:lang w:val="en-US"/>
        </w:rPr>
        <w:t xml:space="preserve"> </w:t>
      </w:r>
      <w:r w:rsidR="002E5246" w:rsidRPr="00B14C47">
        <w:rPr>
          <w:rFonts w:ascii="Arial" w:hAnsi="Arial" w:cs="Arial"/>
          <w:sz w:val="20"/>
        </w:rPr>
        <w:t xml:space="preserve">отчет </w:t>
      </w:r>
      <w:r w:rsidRPr="00B14C47">
        <w:rPr>
          <w:rFonts w:ascii="Arial" w:hAnsi="Arial" w:cs="Arial"/>
          <w:sz w:val="20"/>
        </w:rPr>
        <w:t>за паричните потоци</w:t>
      </w:r>
    </w:p>
    <w:p w14:paraId="4213DAF0" w14:textId="77777777" w:rsidR="00B66DF8" w:rsidRPr="00B14C47" w:rsidRDefault="00B66DF8" w:rsidP="00B66DF8">
      <w:pPr>
        <w:rPr>
          <w:rFonts w:ascii="Arial" w:hAnsi="Arial" w:cs="Arial"/>
          <w:sz w:val="20"/>
        </w:rPr>
      </w:pPr>
      <w:r w:rsidRPr="00B14C47">
        <w:rPr>
          <w:rFonts w:ascii="Arial" w:hAnsi="Arial" w:cs="Arial"/>
          <w:sz w:val="20"/>
        </w:rPr>
        <w:t xml:space="preserve">Индивидуален </w:t>
      </w:r>
      <w:r w:rsidR="002E5246" w:rsidRPr="00B14C47">
        <w:rPr>
          <w:rFonts w:ascii="Arial" w:hAnsi="Arial" w:cs="Arial"/>
          <w:sz w:val="20"/>
        </w:rPr>
        <w:t xml:space="preserve">отчет </w:t>
      </w:r>
      <w:r w:rsidRPr="00B14C47">
        <w:rPr>
          <w:rFonts w:ascii="Arial" w:hAnsi="Arial" w:cs="Arial"/>
          <w:sz w:val="20"/>
        </w:rPr>
        <w:t>за промените в собствения капитал</w:t>
      </w:r>
    </w:p>
    <w:p w14:paraId="6F660040" w14:textId="77777777" w:rsidR="00F06B46" w:rsidRDefault="00663CB5">
      <w:pPr>
        <w:pStyle w:val="TOC1"/>
      </w:pPr>
      <w:r>
        <w:rPr>
          <w:rFonts w:ascii="Arial" w:hAnsi="Arial" w:cs="Arial"/>
        </w:rPr>
        <w:t xml:space="preserve">ПРИЛОЖЕНИЯ </w:t>
      </w:r>
      <w:r w:rsidR="004A37D4" w:rsidRPr="00B14C47">
        <w:rPr>
          <w:rFonts w:ascii="Arial" w:hAnsi="Arial" w:cs="Arial"/>
        </w:rPr>
        <w:fldChar w:fldCharType="begin"/>
      </w:r>
      <w:r w:rsidR="00B66DF8" w:rsidRPr="00B14C47">
        <w:rPr>
          <w:rFonts w:ascii="Arial" w:hAnsi="Arial" w:cs="Arial"/>
        </w:rPr>
        <w:instrText xml:space="preserve"> TOC \o "1-4" \h \z \u </w:instrText>
      </w:r>
      <w:r w:rsidR="004A37D4" w:rsidRPr="00B14C47">
        <w:rPr>
          <w:rFonts w:ascii="Arial" w:hAnsi="Arial" w:cs="Arial"/>
        </w:rPr>
        <w:fldChar w:fldCharType="separate"/>
      </w:r>
    </w:p>
    <w:p w14:paraId="372483AC" w14:textId="77777777" w:rsidR="00F06B46" w:rsidRDefault="00000000">
      <w:pPr>
        <w:pStyle w:val="TOC1"/>
        <w:rPr>
          <w:rFonts w:asciiTheme="minorHAnsi" w:eastAsiaTheme="minorEastAsia" w:hAnsiTheme="minorHAnsi" w:cstheme="minorBidi"/>
          <w:bCs w:val="0"/>
          <w:snapToGrid/>
          <w:lang w:eastAsia="bg-BG"/>
        </w:rPr>
      </w:pPr>
      <w:hyperlink w:anchor="_Toc164268319" w:history="1">
        <w:r w:rsidR="00F06B46" w:rsidRPr="00A12D84">
          <w:rPr>
            <w:rStyle w:val="Hyperlink"/>
            <w:rFonts w:ascii="Arial" w:hAnsi="Arial" w:cs="Arial"/>
          </w:rPr>
          <w:t>ИНДИВИДУАЛЕН ГОДИШЕН ФИНАНСОВ ОТЧЕТ</w:t>
        </w:r>
        <w:r w:rsidR="00F06B46">
          <w:rPr>
            <w:webHidden/>
          </w:rPr>
          <w:tab/>
        </w:r>
        <w:r w:rsidR="00F06B46">
          <w:rPr>
            <w:webHidden/>
          </w:rPr>
          <w:fldChar w:fldCharType="begin"/>
        </w:r>
        <w:r w:rsidR="00F06B46">
          <w:rPr>
            <w:webHidden/>
          </w:rPr>
          <w:instrText xml:space="preserve"> PAGEREF _Toc164268319 \h </w:instrText>
        </w:r>
        <w:r w:rsidR="00F06B46">
          <w:rPr>
            <w:webHidden/>
          </w:rPr>
        </w:r>
        <w:r w:rsidR="00F06B46">
          <w:rPr>
            <w:webHidden/>
          </w:rPr>
          <w:fldChar w:fldCharType="separate"/>
        </w:r>
        <w:r w:rsidR="0067669F">
          <w:rPr>
            <w:webHidden/>
          </w:rPr>
          <w:t>9</w:t>
        </w:r>
        <w:r w:rsidR="00F06B46">
          <w:rPr>
            <w:webHidden/>
          </w:rPr>
          <w:fldChar w:fldCharType="end"/>
        </w:r>
      </w:hyperlink>
    </w:p>
    <w:p w14:paraId="0EDC3108" w14:textId="77777777" w:rsidR="00F06B46" w:rsidRDefault="00000000">
      <w:pPr>
        <w:pStyle w:val="TOC1"/>
        <w:rPr>
          <w:rFonts w:asciiTheme="minorHAnsi" w:eastAsiaTheme="minorEastAsia" w:hAnsiTheme="minorHAnsi" w:cstheme="minorBidi"/>
          <w:bCs w:val="0"/>
          <w:snapToGrid/>
          <w:lang w:eastAsia="bg-BG"/>
        </w:rPr>
      </w:pPr>
      <w:hyperlink w:anchor="_Toc164268320" w:history="1">
        <w:r w:rsidR="00F06B46" w:rsidRPr="00A12D84">
          <w:rPr>
            <w:rStyle w:val="Hyperlink"/>
            <w:rFonts w:ascii="Arial" w:hAnsi="Arial" w:cs="Arial"/>
          </w:rPr>
          <w:t>I. ОБЩА ИНФОРМАЦИЯ</w:t>
        </w:r>
        <w:r w:rsidR="00F06B46">
          <w:rPr>
            <w:webHidden/>
          </w:rPr>
          <w:tab/>
        </w:r>
        <w:r w:rsidR="00F06B46">
          <w:rPr>
            <w:webHidden/>
          </w:rPr>
          <w:fldChar w:fldCharType="begin"/>
        </w:r>
        <w:r w:rsidR="00F06B46">
          <w:rPr>
            <w:webHidden/>
          </w:rPr>
          <w:instrText xml:space="preserve"> PAGEREF _Toc164268320 \h </w:instrText>
        </w:r>
        <w:r w:rsidR="00F06B46">
          <w:rPr>
            <w:webHidden/>
          </w:rPr>
        </w:r>
        <w:r w:rsidR="00F06B46">
          <w:rPr>
            <w:webHidden/>
          </w:rPr>
          <w:fldChar w:fldCharType="separate"/>
        </w:r>
        <w:r w:rsidR="0067669F">
          <w:rPr>
            <w:webHidden/>
          </w:rPr>
          <w:t>9</w:t>
        </w:r>
        <w:r w:rsidR="00F06B46">
          <w:rPr>
            <w:webHidden/>
          </w:rPr>
          <w:fldChar w:fldCharType="end"/>
        </w:r>
      </w:hyperlink>
    </w:p>
    <w:p w14:paraId="3051C7B0" w14:textId="77777777" w:rsidR="00F06B46" w:rsidRDefault="00000000">
      <w:pPr>
        <w:pStyle w:val="TOC1"/>
        <w:rPr>
          <w:rFonts w:asciiTheme="minorHAnsi" w:eastAsiaTheme="minorEastAsia" w:hAnsiTheme="minorHAnsi" w:cstheme="minorBidi"/>
          <w:bCs w:val="0"/>
          <w:snapToGrid/>
          <w:lang w:eastAsia="bg-BG"/>
        </w:rPr>
      </w:pPr>
      <w:hyperlink w:anchor="_Toc164268321" w:history="1">
        <w:r w:rsidR="00F06B46" w:rsidRPr="00A12D84">
          <w:rPr>
            <w:rStyle w:val="Hyperlink"/>
            <w:rFonts w:ascii="Arial" w:hAnsi="Arial" w:cs="Arial"/>
          </w:rPr>
          <w:t>ІІ. БАЗА ЗА ИЗГОТВЯНЕ НА ИНДИВИДУАЛНИТЕ ФИНАНСОВИ ОТЧЕТИ И СЪЩЕСТВЕНА ИНФОРМАЦИЯ ЗА СЧЕТОВОДНИ ПОЛИТИКИ</w:t>
        </w:r>
        <w:r w:rsidR="00F06B46">
          <w:rPr>
            <w:webHidden/>
          </w:rPr>
          <w:tab/>
        </w:r>
        <w:r w:rsidR="00F06B46">
          <w:rPr>
            <w:webHidden/>
          </w:rPr>
          <w:fldChar w:fldCharType="begin"/>
        </w:r>
        <w:r w:rsidR="00F06B46">
          <w:rPr>
            <w:webHidden/>
          </w:rPr>
          <w:instrText xml:space="preserve"> PAGEREF _Toc164268321 \h </w:instrText>
        </w:r>
        <w:r w:rsidR="00F06B46">
          <w:rPr>
            <w:webHidden/>
          </w:rPr>
        </w:r>
        <w:r w:rsidR="00F06B46">
          <w:rPr>
            <w:webHidden/>
          </w:rPr>
          <w:fldChar w:fldCharType="separate"/>
        </w:r>
        <w:r w:rsidR="0067669F">
          <w:rPr>
            <w:webHidden/>
          </w:rPr>
          <w:t>10</w:t>
        </w:r>
        <w:r w:rsidR="00F06B46">
          <w:rPr>
            <w:webHidden/>
          </w:rPr>
          <w:fldChar w:fldCharType="end"/>
        </w:r>
      </w:hyperlink>
    </w:p>
    <w:p w14:paraId="4C66853A"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22" w:history="1">
        <w:r w:rsidR="00F06B46" w:rsidRPr="00A12D84">
          <w:rPr>
            <w:rStyle w:val="Hyperlink"/>
            <w:rFonts w:ascii="Arial" w:hAnsi="Arial" w:cs="Arial"/>
            <w:i/>
            <w:noProof/>
          </w:rPr>
          <w:t>ОСНОВНИ ПОКАЗАТЕЛИ НА СТОПАНСКАТА СРЕДА</w:t>
        </w:r>
        <w:r w:rsidR="00F06B46">
          <w:rPr>
            <w:noProof/>
            <w:webHidden/>
          </w:rPr>
          <w:tab/>
        </w:r>
        <w:r w:rsidR="00F06B46">
          <w:rPr>
            <w:noProof/>
            <w:webHidden/>
          </w:rPr>
          <w:fldChar w:fldCharType="begin"/>
        </w:r>
        <w:r w:rsidR="00F06B46">
          <w:rPr>
            <w:noProof/>
            <w:webHidden/>
          </w:rPr>
          <w:instrText xml:space="preserve"> PAGEREF _Toc164268322 \h </w:instrText>
        </w:r>
        <w:r w:rsidR="00F06B46">
          <w:rPr>
            <w:noProof/>
            <w:webHidden/>
          </w:rPr>
        </w:r>
        <w:r w:rsidR="00F06B46">
          <w:rPr>
            <w:noProof/>
            <w:webHidden/>
          </w:rPr>
          <w:fldChar w:fldCharType="separate"/>
        </w:r>
        <w:r w:rsidR="0067669F">
          <w:rPr>
            <w:noProof/>
            <w:webHidden/>
          </w:rPr>
          <w:t>10</w:t>
        </w:r>
        <w:r w:rsidR="00F06B46">
          <w:rPr>
            <w:noProof/>
            <w:webHidden/>
          </w:rPr>
          <w:fldChar w:fldCharType="end"/>
        </w:r>
      </w:hyperlink>
    </w:p>
    <w:p w14:paraId="1411D731"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23" w:history="1">
        <w:r w:rsidR="00F06B46" w:rsidRPr="00A12D84">
          <w:rPr>
            <w:rStyle w:val="Hyperlink"/>
            <w:rFonts w:ascii="Arial" w:hAnsi="Arial" w:cs="Arial"/>
            <w:i/>
            <w:noProof/>
          </w:rPr>
          <w:t>ЗЯВЛЕНИЕ ЗА СЪОТВЕТСТВИЕ</w:t>
        </w:r>
        <w:r w:rsidR="00F06B46">
          <w:rPr>
            <w:noProof/>
            <w:webHidden/>
          </w:rPr>
          <w:tab/>
        </w:r>
        <w:r w:rsidR="00F06B46">
          <w:rPr>
            <w:noProof/>
            <w:webHidden/>
          </w:rPr>
          <w:fldChar w:fldCharType="begin"/>
        </w:r>
        <w:r w:rsidR="00F06B46">
          <w:rPr>
            <w:noProof/>
            <w:webHidden/>
          </w:rPr>
          <w:instrText xml:space="preserve"> PAGEREF _Toc164268323 \h </w:instrText>
        </w:r>
        <w:r w:rsidR="00F06B46">
          <w:rPr>
            <w:noProof/>
            <w:webHidden/>
          </w:rPr>
        </w:r>
        <w:r w:rsidR="00F06B46">
          <w:rPr>
            <w:noProof/>
            <w:webHidden/>
          </w:rPr>
          <w:fldChar w:fldCharType="separate"/>
        </w:r>
        <w:r w:rsidR="0067669F">
          <w:rPr>
            <w:noProof/>
            <w:webHidden/>
          </w:rPr>
          <w:t>10</w:t>
        </w:r>
        <w:r w:rsidR="00F06B46">
          <w:rPr>
            <w:noProof/>
            <w:webHidden/>
          </w:rPr>
          <w:fldChar w:fldCharType="end"/>
        </w:r>
      </w:hyperlink>
    </w:p>
    <w:p w14:paraId="0B793378"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24" w:history="1">
        <w:r w:rsidR="00F06B46" w:rsidRPr="00A12D84">
          <w:rPr>
            <w:rStyle w:val="Hyperlink"/>
            <w:rFonts w:ascii="Arial" w:hAnsi="Arial" w:cs="Arial"/>
            <w:i/>
            <w:noProof/>
          </w:rPr>
          <w:t>СЪЩЕСТВЕНА ИНФОРМАЦИЯ ЗА СЧЕТОВОДНИ ПОЛИТИКИ</w:t>
        </w:r>
        <w:r w:rsidR="00F06B46">
          <w:rPr>
            <w:noProof/>
            <w:webHidden/>
          </w:rPr>
          <w:tab/>
        </w:r>
        <w:r w:rsidR="00F06B46">
          <w:rPr>
            <w:noProof/>
            <w:webHidden/>
          </w:rPr>
          <w:fldChar w:fldCharType="begin"/>
        </w:r>
        <w:r w:rsidR="00F06B46">
          <w:rPr>
            <w:noProof/>
            <w:webHidden/>
          </w:rPr>
          <w:instrText xml:space="preserve"> PAGEREF _Toc164268324 \h </w:instrText>
        </w:r>
        <w:r w:rsidR="00F06B46">
          <w:rPr>
            <w:noProof/>
            <w:webHidden/>
          </w:rPr>
        </w:r>
        <w:r w:rsidR="00F06B46">
          <w:rPr>
            <w:noProof/>
            <w:webHidden/>
          </w:rPr>
          <w:fldChar w:fldCharType="separate"/>
        </w:r>
        <w:r w:rsidR="0067669F">
          <w:rPr>
            <w:noProof/>
            <w:webHidden/>
          </w:rPr>
          <w:t>11</w:t>
        </w:r>
        <w:r w:rsidR="00F06B46">
          <w:rPr>
            <w:noProof/>
            <w:webHidden/>
          </w:rPr>
          <w:fldChar w:fldCharType="end"/>
        </w:r>
      </w:hyperlink>
    </w:p>
    <w:p w14:paraId="43B82CB4"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25" w:history="1">
        <w:r w:rsidR="00F06B46" w:rsidRPr="00A12D84">
          <w:rPr>
            <w:rStyle w:val="Hyperlink"/>
            <w:rFonts w:ascii="Arial" w:hAnsi="Arial" w:cs="Arial"/>
            <w:noProof/>
          </w:rPr>
          <w:t>База за изготвяне</w:t>
        </w:r>
        <w:r w:rsidR="00F06B46">
          <w:rPr>
            <w:noProof/>
            <w:webHidden/>
          </w:rPr>
          <w:tab/>
        </w:r>
        <w:r w:rsidR="00F06B46">
          <w:rPr>
            <w:noProof/>
            <w:webHidden/>
          </w:rPr>
          <w:fldChar w:fldCharType="begin"/>
        </w:r>
        <w:r w:rsidR="00F06B46">
          <w:rPr>
            <w:noProof/>
            <w:webHidden/>
          </w:rPr>
          <w:instrText xml:space="preserve"> PAGEREF _Toc164268325 \h </w:instrText>
        </w:r>
        <w:r w:rsidR="00F06B46">
          <w:rPr>
            <w:noProof/>
            <w:webHidden/>
          </w:rPr>
        </w:r>
        <w:r w:rsidR="00F06B46">
          <w:rPr>
            <w:noProof/>
            <w:webHidden/>
          </w:rPr>
          <w:fldChar w:fldCharType="separate"/>
        </w:r>
        <w:r w:rsidR="0067669F">
          <w:rPr>
            <w:noProof/>
            <w:webHidden/>
          </w:rPr>
          <w:t>11</w:t>
        </w:r>
        <w:r w:rsidR="00F06B46">
          <w:rPr>
            <w:noProof/>
            <w:webHidden/>
          </w:rPr>
          <w:fldChar w:fldCharType="end"/>
        </w:r>
      </w:hyperlink>
    </w:p>
    <w:p w14:paraId="0B97D261"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26" w:history="1">
        <w:r w:rsidR="00F06B46" w:rsidRPr="00A12D84">
          <w:rPr>
            <w:rStyle w:val="Hyperlink"/>
            <w:rFonts w:ascii="Arial" w:hAnsi="Arial" w:cs="Arial"/>
            <w:noProof/>
          </w:rPr>
          <w:t>База за изготвяне - Промени в счетоводната политика</w:t>
        </w:r>
        <w:r w:rsidR="00F06B46">
          <w:rPr>
            <w:noProof/>
            <w:webHidden/>
          </w:rPr>
          <w:tab/>
        </w:r>
        <w:r w:rsidR="00F06B46">
          <w:rPr>
            <w:noProof/>
            <w:webHidden/>
          </w:rPr>
          <w:fldChar w:fldCharType="begin"/>
        </w:r>
        <w:r w:rsidR="00F06B46">
          <w:rPr>
            <w:noProof/>
            <w:webHidden/>
          </w:rPr>
          <w:instrText xml:space="preserve"> PAGEREF _Toc164268326 \h </w:instrText>
        </w:r>
        <w:r w:rsidR="00F06B46">
          <w:rPr>
            <w:noProof/>
            <w:webHidden/>
          </w:rPr>
        </w:r>
        <w:r w:rsidR="00F06B46">
          <w:rPr>
            <w:noProof/>
            <w:webHidden/>
          </w:rPr>
          <w:fldChar w:fldCharType="separate"/>
        </w:r>
        <w:r w:rsidR="0067669F">
          <w:rPr>
            <w:noProof/>
            <w:webHidden/>
          </w:rPr>
          <w:t>14</w:t>
        </w:r>
        <w:r w:rsidR="00F06B46">
          <w:rPr>
            <w:noProof/>
            <w:webHidden/>
          </w:rPr>
          <w:fldChar w:fldCharType="end"/>
        </w:r>
      </w:hyperlink>
    </w:p>
    <w:p w14:paraId="5A6E96AC"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27" w:history="1">
        <w:r w:rsidR="00F06B46" w:rsidRPr="00A12D84">
          <w:rPr>
            <w:rStyle w:val="Hyperlink"/>
            <w:rFonts w:ascii="Arial" w:hAnsi="Arial" w:cs="Arial"/>
            <w:noProof/>
          </w:rPr>
          <w:t>Минимална сравнителна информация</w:t>
        </w:r>
        <w:r w:rsidR="00F06B46">
          <w:rPr>
            <w:noProof/>
            <w:webHidden/>
          </w:rPr>
          <w:tab/>
        </w:r>
        <w:r w:rsidR="00F06B46">
          <w:rPr>
            <w:noProof/>
            <w:webHidden/>
          </w:rPr>
          <w:fldChar w:fldCharType="begin"/>
        </w:r>
        <w:r w:rsidR="00F06B46">
          <w:rPr>
            <w:noProof/>
            <w:webHidden/>
          </w:rPr>
          <w:instrText xml:space="preserve"> PAGEREF _Toc164268327 \h </w:instrText>
        </w:r>
        <w:r w:rsidR="00F06B46">
          <w:rPr>
            <w:noProof/>
            <w:webHidden/>
          </w:rPr>
        </w:r>
        <w:r w:rsidR="00F06B46">
          <w:rPr>
            <w:noProof/>
            <w:webHidden/>
          </w:rPr>
          <w:fldChar w:fldCharType="separate"/>
        </w:r>
        <w:r w:rsidR="0067669F">
          <w:rPr>
            <w:noProof/>
            <w:webHidden/>
          </w:rPr>
          <w:t>14</w:t>
        </w:r>
        <w:r w:rsidR="00F06B46">
          <w:rPr>
            <w:noProof/>
            <w:webHidden/>
          </w:rPr>
          <w:fldChar w:fldCharType="end"/>
        </w:r>
      </w:hyperlink>
    </w:p>
    <w:p w14:paraId="5F97309B"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28" w:history="1">
        <w:r w:rsidR="00F06B46" w:rsidRPr="00A12D84">
          <w:rPr>
            <w:rStyle w:val="Hyperlink"/>
            <w:rFonts w:ascii="Arial" w:hAnsi="Arial" w:cs="Arial"/>
            <w:noProof/>
          </w:rPr>
          <w:t>Оповестявания на обезценка в отчетите</w:t>
        </w:r>
        <w:r w:rsidR="00F06B46">
          <w:rPr>
            <w:noProof/>
            <w:webHidden/>
          </w:rPr>
          <w:tab/>
        </w:r>
        <w:r w:rsidR="00F06B46">
          <w:rPr>
            <w:noProof/>
            <w:webHidden/>
          </w:rPr>
          <w:fldChar w:fldCharType="begin"/>
        </w:r>
        <w:r w:rsidR="00F06B46">
          <w:rPr>
            <w:noProof/>
            <w:webHidden/>
          </w:rPr>
          <w:instrText xml:space="preserve"> PAGEREF _Toc164268328 \h </w:instrText>
        </w:r>
        <w:r w:rsidR="00F06B46">
          <w:rPr>
            <w:noProof/>
            <w:webHidden/>
          </w:rPr>
        </w:r>
        <w:r w:rsidR="00F06B46">
          <w:rPr>
            <w:noProof/>
            <w:webHidden/>
          </w:rPr>
          <w:fldChar w:fldCharType="separate"/>
        </w:r>
        <w:r w:rsidR="0067669F">
          <w:rPr>
            <w:noProof/>
            <w:webHidden/>
          </w:rPr>
          <w:t>14</w:t>
        </w:r>
        <w:r w:rsidR="00F06B46">
          <w:rPr>
            <w:noProof/>
            <w:webHidden/>
          </w:rPr>
          <w:fldChar w:fldCharType="end"/>
        </w:r>
      </w:hyperlink>
    </w:p>
    <w:p w14:paraId="46308845"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29" w:history="1">
        <w:r w:rsidR="00F06B46" w:rsidRPr="00A12D84">
          <w:rPr>
            <w:rStyle w:val="Hyperlink"/>
            <w:rFonts w:ascii="Arial" w:hAnsi="Arial" w:cs="Arial"/>
            <w:noProof/>
          </w:rPr>
          <w:t>Бази за оценяване, използвани при изготвянето на финансовите отчети</w:t>
        </w:r>
        <w:r w:rsidR="00F06B46">
          <w:rPr>
            <w:noProof/>
            <w:webHidden/>
          </w:rPr>
          <w:tab/>
        </w:r>
        <w:r w:rsidR="00F06B46">
          <w:rPr>
            <w:noProof/>
            <w:webHidden/>
          </w:rPr>
          <w:fldChar w:fldCharType="begin"/>
        </w:r>
        <w:r w:rsidR="00F06B46">
          <w:rPr>
            <w:noProof/>
            <w:webHidden/>
          </w:rPr>
          <w:instrText xml:space="preserve"> PAGEREF _Toc164268329 \h </w:instrText>
        </w:r>
        <w:r w:rsidR="00F06B46">
          <w:rPr>
            <w:noProof/>
            <w:webHidden/>
          </w:rPr>
        </w:r>
        <w:r w:rsidR="00F06B46">
          <w:rPr>
            <w:noProof/>
            <w:webHidden/>
          </w:rPr>
          <w:fldChar w:fldCharType="separate"/>
        </w:r>
        <w:r w:rsidR="0067669F">
          <w:rPr>
            <w:noProof/>
            <w:webHidden/>
          </w:rPr>
          <w:t>14</w:t>
        </w:r>
        <w:r w:rsidR="00F06B46">
          <w:rPr>
            <w:noProof/>
            <w:webHidden/>
          </w:rPr>
          <w:fldChar w:fldCharType="end"/>
        </w:r>
      </w:hyperlink>
    </w:p>
    <w:p w14:paraId="4EE8905D"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30" w:history="1">
        <w:r w:rsidR="00F06B46" w:rsidRPr="00A12D84">
          <w:rPr>
            <w:rStyle w:val="Hyperlink"/>
            <w:rFonts w:ascii="Arial" w:hAnsi="Arial" w:cs="Arial"/>
            <w:noProof/>
          </w:rPr>
          <w:t>Критични счетоводни преценки</w:t>
        </w:r>
        <w:r w:rsidR="00F06B46">
          <w:rPr>
            <w:noProof/>
            <w:webHidden/>
          </w:rPr>
          <w:tab/>
        </w:r>
        <w:r w:rsidR="00F06B46">
          <w:rPr>
            <w:noProof/>
            <w:webHidden/>
          </w:rPr>
          <w:fldChar w:fldCharType="begin"/>
        </w:r>
        <w:r w:rsidR="00F06B46">
          <w:rPr>
            <w:noProof/>
            <w:webHidden/>
          </w:rPr>
          <w:instrText xml:space="preserve"> PAGEREF _Toc164268330 \h </w:instrText>
        </w:r>
        <w:r w:rsidR="00F06B46">
          <w:rPr>
            <w:noProof/>
            <w:webHidden/>
          </w:rPr>
        </w:r>
        <w:r w:rsidR="00F06B46">
          <w:rPr>
            <w:noProof/>
            <w:webHidden/>
          </w:rPr>
          <w:fldChar w:fldCharType="separate"/>
        </w:r>
        <w:r w:rsidR="0067669F">
          <w:rPr>
            <w:noProof/>
            <w:webHidden/>
          </w:rPr>
          <w:t>15</w:t>
        </w:r>
        <w:r w:rsidR="00F06B46">
          <w:rPr>
            <w:noProof/>
            <w:webHidden/>
          </w:rPr>
          <w:fldChar w:fldCharType="end"/>
        </w:r>
      </w:hyperlink>
    </w:p>
    <w:p w14:paraId="4AF71CB2"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31" w:history="1">
        <w:r w:rsidR="00F06B46" w:rsidRPr="00A12D84">
          <w:rPr>
            <w:rStyle w:val="Hyperlink"/>
            <w:rFonts w:ascii="Arial" w:hAnsi="Arial" w:cs="Arial"/>
            <w:noProof/>
          </w:rPr>
          <w:t>Оповестявания за комплекта финансови отчети</w:t>
        </w:r>
        <w:r w:rsidR="00F06B46">
          <w:rPr>
            <w:noProof/>
            <w:webHidden/>
          </w:rPr>
          <w:tab/>
        </w:r>
        <w:r w:rsidR="00F06B46">
          <w:rPr>
            <w:noProof/>
            <w:webHidden/>
          </w:rPr>
          <w:fldChar w:fldCharType="begin"/>
        </w:r>
        <w:r w:rsidR="00F06B46">
          <w:rPr>
            <w:noProof/>
            <w:webHidden/>
          </w:rPr>
          <w:instrText xml:space="preserve"> PAGEREF _Toc164268331 \h </w:instrText>
        </w:r>
        <w:r w:rsidR="00F06B46">
          <w:rPr>
            <w:noProof/>
            <w:webHidden/>
          </w:rPr>
        </w:r>
        <w:r w:rsidR="00F06B46">
          <w:rPr>
            <w:noProof/>
            <w:webHidden/>
          </w:rPr>
          <w:fldChar w:fldCharType="separate"/>
        </w:r>
        <w:r w:rsidR="0067669F">
          <w:rPr>
            <w:noProof/>
            <w:webHidden/>
          </w:rPr>
          <w:t>15</w:t>
        </w:r>
        <w:r w:rsidR="00F06B46">
          <w:rPr>
            <w:noProof/>
            <w:webHidden/>
          </w:rPr>
          <w:fldChar w:fldCharType="end"/>
        </w:r>
      </w:hyperlink>
    </w:p>
    <w:p w14:paraId="0514BB80"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32" w:history="1">
        <w:r w:rsidR="00F06B46" w:rsidRPr="00A12D84">
          <w:rPr>
            <w:rStyle w:val="Hyperlink"/>
            <w:rFonts w:ascii="Arial" w:hAnsi="Arial" w:cs="Arial"/>
            <w:noProof/>
          </w:rPr>
          <w:t>Допустимо алтернативно третиране</w:t>
        </w:r>
        <w:r w:rsidR="00F06B46">
          <w:rPr>
            <w:noProof/>
            <w:webHidden/>
          </w:rPr>
          <w:tab/>
        </w:r>
        <w:r w:rsidR="00F06B46">
          <w:rPr>
            <w:noProof/>
            <w:webHidden/>
          </w:rPr>
          <w:fldChar w:fldCharType="begin"/>
        </w:r>
        <w:r w:rsidR="00F06B46">
          <w:rPr>
            <w:noProof/>
            <w:webHidden/>
          </w:rPr>
          <w:instrText xml:space="preserve"> PAGEREF _Toc164268332 \h </w:instrText>
        </w:r>
        <w:r w:rsidR="00F06B46">
          <w:rPr>
            <w:noProof/>
            <w:webHidden/>
          </w:rPr>
        </w:r>
        <w:r w:rsidR="00F06B46">
          <w:rPr>
            <w:noProof/>
            <w:webHidden/>
          </w:rPr>
          <w:fldChar w:fldCharType="separate"/>
        </w:r>
        <w:r w:rsidR="0067669F">
          <w:rPr>
            <w:noProof/>
            <w:webHidden/>
          </w:rPr>
          <w:t>15</w:t>
        </w:r>
        <w:r w:rsidR="00F06B46">
          <w:rPr>
            <w:noProof/>
            <w:webHidden/>
          </w:rPr>
          <w:fldChar w:fldCharType="end"/>
        </w:r>
      </w:hyperlink>
    </w:p>
    <w:p w14:paraId="0769C105"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33" w:history="1">
        <w:r w:rsidR="00F06B46" w:rsidRPr="00A12D84">
          <w:rPr>
            <w:rStyle w:val="Hyperlink"/>
            <w:rFonts w:ascii="Arial" w:hAnsi="Arial" w:cs="Arial"/>
            <w:noProof/>
          </w:rPr>
          <w:t>Финансов обзор от ръководството</w:t>
        </w:r>
        <w:r w:rsidR="00F06B46">
          <w:rPr>
            <w:noProof/>
            <w:webHidden/>
          </w:rPr>
          <w:tab/>
        </w:r>
        <w:r w:rsidR="00F06B46">
          <w:rPr>
            <w:noProof/>
            <w:webHidden/>
          </w:rPr>
          <w:fldChar w:fldCharType="begin"/>
        </w:r>
        <w:r w:rsidR="00F06B46">
          <w:rPr>
            <w:noProof/>
            <w:webHidden/>
          </w:rPr>
          <w:instrText xml:space="preserve"> PAGEREF _Toc164268333 \h </w:instrText>
        </w:r>
        <w:r w:rsidR="00F06B46">
          <w:rPr>
            <w:noProof/>
            <w:webHidden/>
          </w:rPr>
        </w:r>
        <w:r w:rsidR="00F06B46">
          <w:rPr>
            <w:noProof/>
            <w:webHidden/>
          </w:rPr>
          <w:fldChar w:fldCharType="separate"/>
        </w:r>
        <w:r w:rsidR="0067669F">
          <w:rPr>
            <w:noProof/>
            <w:webHidden/>
          </w:rPr>
          <w:t>16</w:t>
        </w:r>
        <w:r w:rsidR="00F06B46">
          <w:rPr>
            <w:noProof/>
            <w:webHidden/>
          </w:rPr>
          <w:fldChar w:fldCharType="end"/>
        </w:r>
      </w:hyperlink>
    </w:p>
    <w:p w14:paraId="7F1E9409"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34" w:history="1">
        <w:r w:rsidR="00F06B46" w:rsidRPr="00A12D84">
          <w:rPr>
            <w:rStyle w:val="Hyperlink"/>
            <w:rFonts w:ascii="Arial" w:hAnsi="Arial" w:cs="Arial"/>
            <w:i/>
            <w:noProof/>
          </w:rPr>
          <w:t>ПРИЗНАВАНЕ НА ПРИХОД</w:t>
        </w:r>
        <w:r w:rsidR="00F06B46">
          <w:rPr>
            <w:noProof/>
            <w:webHidden/>
          </w:rPr>
          <w:tab/>
        </w:r>
        <w:r w:rsidR="00F06B46">
          <w:rPr>
            <w:noProof/>
            <w:webHidden/>
          </w:rPr>
          <w:fldChar w:fldCharType="begin"/>
        </w:r>
        <w:r w:rsidR="00F06B46">
          <w:rPr>
            <w:noProof/>
            <w:webHidden/>
          </w:rPr>
          <w:instrText xml:space="preserve"> PAGEREF _Toc164268334 \h </w:instrText>
        </w:r>
        <w:r w:rsidR="00F06B46">
          <w:rPr>
            <w:noProof/>
            <w:webHidden/>
          </w:rPr>
        </w:r>
        <w:r w:rsidR="00F06B46">
          <w:rPr>
            <w:noProof/>
            <w:webHidden/>
          </w:rPr>
          <w:fldChar w:fldCharType="separate"/>
        </w:r>
        <w:r w:rsidR="0067669F">
          <w:rPr>
            <w:noProof/>
            <w:webHidden/>
          </w:rPr>
          <w:t>16</w:t>
        </w:r>
        <w:r w:rsidR="00F06B46">
          <w:rPr>
            <w:noProof/>
            <w:webHidden/>
          </w:rPr>
          <w:fldChar w:fldCharType="end"/>
        </w:r>
      </w:hyperlink>
    </w:p>
    <w:p w14:paraId="53221873"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35" w:history="1">
        <w:r w:rsidR="00F06B46" w:rsidRPr="00A12D84">
          <w:rPr>
            <w:rStyle w:val="Hyperlink"/>
            <w:rFonts w:ascii="Arial" w:hAnsi="Arial" w:cs="Arial"/>
            <w:i/>
            <w:noProof/>
          </w:rPr>
          <w:t>РАЗХОДИ</w:t>
        </w:r>
        <w:r w:rsidR="00F06B46">
          <w:rPr>
            <w:noProof/>
            <w:webHidden/>
          </w:rPr>
          <w:tab/>
        </w:r>
        <w:r w:rsidR="00F06B46">
          <w:rPr>
            <w:noProof/>
            <w:webHidden/>
          </w:rPr>
          <w:fldChar w:fldCharType="begin"/>
        </w:r>
        <w:r w:rsidR="00F06B46">
          <w:rPr>
            <w:noProof/>
            <w:webHidden/>
          </w:rPr>
          <w:instrText xml:space="preserve"> PAGEREF _Toc164268335 \h </w:instrText>
        </w:r>
        <w:r w:rsidR="00F06B46">
          <w:rPr>
            <w:noProof/>
            <w:webHidden/>
          </w:rPr>
        </w:r>
        <w:r w:rsidR="00F06B46">
          <w:rPr>
            <w:noProof/>
            <w:webHidden/>
          </w:rPr>
          <w:fldChar w:fldCharType="separate"/>
        </w:r>
        <w:r w:rsidR="0067669F">
          <w:rPr>
            <w:noProof/>
            <w:webHidden/>
          </w:rPr>
          <w:t>16</w:t>
        </w:r>
        <w:r w:rsidR="00F06B46">
          <w:rPr>
            <w:noProof/>
            <w:webHidden/>
          </w:rPr>
          <w:fldChar w:fldCharType="end"/>
        </w:r>
      </w:hyperlink>
    </w:p>
    <w:p w14:paraId="5E10E54B"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36" w:history="1">
        <w:r w:rsidR="00F06B46" w:rsidRPr="00A12D84">
          <w:rPr>
            <w:rStyle w:val="Hyperlink"/>
            <w:rFonts w:ascii="Arial" w:hAnsi="Arial" w:cs="Arial"/>
            <w:i/>
            <w:noProof/>
          </w:rPr>
          <w:t>ПЕЧАЛБИ ИЛИ ЗАГУБИ ЗА ПЕРИОДА</w:t>
        </w:r>
        <w:r w:rsidR="00F06B46">
          <w:rPr>
            <w:noProof/>
            <w:webHidden/>
          </w:rPr>
          <w:tab/>
        </w:r>
        <w:r w:rsidR="00F06B46">
          <w:rPr>
            <w:noProof/>
            <w:webHidden/>
          </w:rPr>
          <w:fldChar w:fldCharType="begin"/>
        </w:r>
        <w:r w:rsidR="00F06B46">
          <w:rPr>
            <w:noProof/>
            <w:webHidden/>
          </w:rPr>
          <w:instrText xml:space="preserve"> PAGEREF _Toc164268336 \h </w:instrText>
        </w:r>
        <w:r w:rsidR="00F06B46">
          <w:rPr>
            <w:noProof/>
            <w:webHidden/>
          </w:rPr>
        </w:r>
        <w:r w:rsidR="00F06B46">
          <w:rPr>
            <w:noProof/>
            <w:webHidden/>
          </w:rPr>
          <w:fldChar w:fldCharType="separate"/>
        </w:r>
        <w:r w:rsidR="0067669F">
          <w:rPr>
            <w:noProof/>
            <w:webHidden/>
          </w:rPr>
          <w:t>17</w:t>
        </w:r>
        <w:r w:rsidR="00F06B46">
          <w:rPr>
            <w:noProof/>
            <w:webHidden/>
          </w:rPr>
          <w:fldChar w:fldCharType="end"/>
        </w:r>
      </w:hyperlink>
    </w:p>
    <w:p w14:paraId="49394F34"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37" w:history="1">
        <w:r w:rsidR="00F06B46" w:rsidRPr="00A12D84">
          <w:rPr>
            <w:rStyle w:val="Hyperlink"/>
            <w:rFonts w:ascii="Arial" w:hAnsi="Arial" w:cs="Arial"/>
            <w:b/>
            <w:bCs/>
            <w:iCs/>
            <w:noProof/>
          </w:rPr>
          <w:t>Инвестиции в дъщерни предприятия</w:t>
        </w:r>
        <w:r w:rsidR="00F06B46">
          <w:rPr>
            <w:noProof/>
            <w:webHidden/>
          </w:rPr>
          <w:tab/>
        </w:r>
        <w:r w:rsidR="00F06B46">
          <w:rPr>
            <w:noProof/>
            <w:webHidden/>
          </w:rPr>
          <w:fldChar w:fldCharType="begin"/>
        </w:r>
        <w:r w:rsidR="00F06B46">
          <w:rPr>
            <w:noProof/>
            <w:webHidden/>
          </w:rPr>
          <w:instrText xml:space="preserve"> PAGEREF _Toc164268337 \h </w:instrText>
        </w:r>
        <w:r w:rsidR="00F06B46">
          <w:rPr>
            <w:noProof/>
            <w:webHidden/>
          </w:rPr>
        </w:r>
        <w:r w:rsidR="00F06B46">
          <w:rPr>
            <w:noProof/>
            <w:webHidden/>
          </w:rPr>
          <w:fldChar w:fldCharType="separate"/>
        </w:r>
        <w:r w:rsidR="0067669F">
          <w:rPr>
            <w:noProof/>
            <w:webHidden/>
          </w:rPr>
          <w:t>17</w:t>
        </w:r>
        <w:r w:rsidR="00F06B46">
          <w:rPr>
            <w:noProof/>
            <w:webHidden/>
          </w:rPr>
          <w:fldChar w:fldCharType="end"/>
        </w:r>
      </w:hyperlink>
    </w:p>
    <w:p w14:paraId="36A05961"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38" w:history="1">
        <w:r w:rsidR="00F06B46" w:rsidRPr="00A12D84">
          <w:rPr>
            <w:rStyle w:val="Hyperlink"/>
            <w:rFonts w:ascii="Arial" w:hAnsi="Arial" w:cs="Arial"/>
            <w:noProof/>
          </w:rPr>
          <w:t>Финансови инструменти</w:t>
        </w:r>
        <w:r w:rsidR="00F06B46">
          <w:rPr>
            <w:noProof/>
            <w:webHidden/>
          </w:rPr>
          <w:tab/>
        </w:r>
        <w:r w:rsidR="00F06B46">
          <w:rPr>
            <w:noProof/>
            <w:webHidden/>
          </w:rPr>
          <w:fldChar w:fldCharType="begin"/>
        </w:r>
        <w:r w:rsidR="00F06B46">
          <w:rPr>
            <w:noProof/>
            <w:webHidden/>
          </w:rPr>
          <w:instrText xml:space="preserve"> PAGEREF _Toc164268338 \h </w:instrText>
        </w:r>
        <w:r w:rsidR="00F06B46">
          <w:rPr>
            <w:noProof/>
            <w:webHidden/>
          </w:rPr>
        </w:r>
        <w:r w:rsidR="00F06B46">
          <w:rPr>
            <w:noProof/>
            <w:webHidden/>
          </w:rPr>
          <w:fldChar w:fldCharType="separate"/>
        </w:r>
        <w:r w:rsidR="0067669F">
          <w:rPr>
            <w:noProof/>
            <w:webHidden/>
          </w:rPr>
          <w:t>18</w:t>
        </w:r>
        <w:r w:rsidR="00F06B46">
          <w:rPr>
            <w:noProof/>
            <w:webHidden/>
          </w:rPr>
          <w:fldChar w:fldCharType="end"/>
        </w:r>
      </w:hyperlink>
    </w:p>
    <w:p w14:paraId="4091AFC3"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39" w:history="1">
        <w:r w:rsidR="00F06B46" w:rsidRPr="00A12D84">
          <w:rPr>
            <w:rStyle w:val="Hyperlink"/>
            <w:rFonts w:ascii="Arial" w:hAnsi="Arial" w:cs="Arial"/>
            <w:noProof/>
          </w:rPr>
          <w:t>Последваща оценка на финансови активи</w:t>
        </w:r>
        <w:r w:rsidR="00F06B46">
          <w:rPr>
            <w:noProof/>
            <w:webHidden/>
          </w:rPr>
          <w:tab/>
        </w:r>
        <w:r w:rsidR="00F06B46">
          <w:rPr>
            <w:noProof/>
            <w:webHidden/>
          </w:rPr>
          <w:fldChar w:fldCharType="begin"/>
        </w:r>
        <w:r w:rsidR="00F06B46">
          <w:rPr>
            <w:noProof/>
            <w:webHidden/>
          </w:rPr>
          <w:instrText xml:space="preserve"> PAGEREF _Toc164268339 \h </w:instrText>
        </w:r>
        <w:r w:rsidR="00F06B46">
          <w:rPr>
            <w:noProof/>
            <w:webHidden/>
          </w:rPr>
        </w:r>
        <w:r w:rsidR="00F06B46">
          <w:rPr>
            <w:noProof/>
            <w:webHidden/>
          </w:rPr>
          <w:fldChar w:fldCharType="separate"/>
        </w:r>
        <w:r w:rsidR="0067669F">
          <w:rPr>
            <w:noProof/>
            <w:webHidden/>
          </w:rPr>
          <w:t>18</w:t>
        </w:r>
        <w:r w:rsidR="00F06B46">
          <w:rPr>
            <w:noProof/>
            <w:webHidden/>
          </w:rPr>
          <w:fldChar w:fldCharType="end"/>
        </w:r>
      </w:hyperlink>
    </w:p>
    <w:p w14:paraId="3010974B"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40" w:history="1">
        <w:r w:rsidR="00F06B46" w:rsidRPr="00A12D84">
          <w:rPr>
            <w:rStyle w:val="Hyperlink"/>
            <w:rFonts w:ascii="Arial" w:hAnsi="Arial" w:cs="Arial"/>
            <w:noProof/>
          </w:rPr>
          <w:t>Обезценка на финансови активи</w:t>
        </w:r>
        <w:r w:rsidR="00F06B46">
          <w:rPr>
            <w:noProof/>
            <w:webHidden/>
          </w:rPr>
          <w:tab/>
        </w:r>
        <w:r w:rsidR="00F06B46">
          <w:rPr>
            <w:noProof/>
            <w:webHidden/>
          </w:rPr>
          <w:fldChar w:fldCharType="begin"/>
        </w:r>
        <w:r w:rsidR="00F06B46">
          <w:rPr>
            <w:noProof/>
            <w:webHidden/>
          </w:rPr>
          <w:instrText xml:space="preserve"> PAGEREF _Toc164268340 \h </w:instrText>
        </w:r>
        <w:r w:rsidR="00F06B46">
          <w:rPr>
            <w:noProof/>
            <w:webHidden/>
          </w:rPr>
        </w:r>
        <w:r w:rsidR="00F06B46">
          <w:rPr>
            <w:noProof/>
            <w:webHidden/>
          </w:rPr>
          <w:fldChar w:fldCharType="separate"/>
        </w:r>
        <w:r w:rsidR="0067669F">
          <w:rPr>
            <w:noProof/>
            <w:webHidden/>
          </w:rPr>
          <w:t>19</w:t>
        </w:r>
        <w:r w:rsidR="00F06B46">
          <w:rPr>
            <w:noProof/>
            <w:webHidden/>
          </w:rPr>
          <w:fldChar w:fldCharType="end"/>
        </w:r>
      </w:hyperlink>
    </w:p>
    <w:p w14:paraId="0788EEB8"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41" w:history="1">
        <w:r w:rsidR="00F06B46" w:rsidRPr="00A12D84">
          <w:rPr>
            <w:rStyle w:val="Hyperlink"/>
            <w:rFonts w:ascii="Arial" w:hAnsi="Arial" w:cs="Arial"/>
            <w:noProof/>
          </w:rPr>
          <w:t>Отписване на финансови активи</w:t>
        </w:r>
        <w:r w:rsidR="00F06B46">
          <w:rPr>
            <w:noProof/>
            <w:webHidden/>
          </w:rPr>
          <w:tab/>
        </w:r>
        <w:r w:rsidR="00F06B46">
          <w:rPr>
            <w:noProof/>
            <w:webHidden/>
          </w:rPr>
          <w:fldChar w:fldCharType="begin"/>
        </w:r>
        <w:r w:rsidR="00F06B46">
          <w:rPr>
            <w:noProof/>
            <w:webHidden/>
          </w:rPr>
          <w:instrText xml:space="preserve"> PAGEREF _Toc164268341 \h </w:instrText>
        </w:r>
        <w:r w:rsidR="00F06B46">
          <w:rPr>
            <w:noProof/>
            <w:webHidden/>
          </w:rPr>
        </w:r>
        <w:r w:rsidR="00F06B46">
          <w:rPr>
            <w:noProof/>
            <w:webHidden/>
          </w:rPr>
          <w:fldChar w:fldCharType="separate"/>
        </w:r>
        <w:r w:rsidR="0067669F">
          <w:rPr>
            <w:noProof/>
            <w:webHidden/>
          </w:rPr>
          <w:t>19</w:t>
        </w:r>
        <w:r w:rsidR="00F06B46">
          <w:rPr>
            <w:noProof/>
            <w:webHidden/>
          </w:rPr>
          <w:fldChar w:fldCharType="end"/>
        </w:r>
      </w:hyperlink>
    </w:p>
    <w:p w14:paraId="2B3AAD7C"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42" w:history="1">
        <w:r w:rsidR="00F06B46" w:rsidRPr="00A12D84">
          <w:rPr>
            <w:rStyle w:val="Hyperlink"/>
            <w:rFonts w:ascii="Arial" w:hAnsi="Arial" w:cs="Arial"/>
            <w:b/>
            <w:bCs/>
            <w:noProof/>
            <w:lang w:val="en-US"/>
          </w:rPr>
          <w:t>Последваща оценка на финансови пасиви</w:t>
        </w:r>
        <w:r w:rsidR="00F06B46">
          <w:rPr>
            <w:noProof/>
            <w:webHidden/>
          </w:rPr>
          <w:tab/>
        </w:r>
        <w:r w:rsidR="00F06B46">
          <w:rPr>
            <w:noProof/>
            <w:webHidden/>
          </w:rPr>
          <w:fldChar w:fldCharType="begin"/>
        </w:r>
        <w:r w:rsidR="00F06B46">
          <w:rPr>
            <w:noProof/>
            <w:webHidden/>
          </w:rPr>
          <w:instrText xml:space="preserve"> PAGEREF _Toc164268342 \h </w:instrText>
        </w:r>
        <w:r w:rsidR="00F06B46">
          <w:rPr>
            <w:noProof/>
            <w:webHidden/>
          </w:rPr>
        </w:r>
        <w:r w:rsidR="00F06B46">
          <w:rPr>
            <w:noProof/>
            <w:webHidden/>
          </w:rPr>
          <w:fldChar w:fldCharType="separate"/>
        </w:r>
        <w:r w:rsidR="0067669F">
          <w:rPr>
            <w:noProof/>
            <w:webHidden/>
          </w:rPr>
          <w:t>20</w:t>
        </w:r>
        <w:r w:rsidR="00F06B46">
          <w:rPr>
            <w:noProof/>
            <w:webHidden/>
          </w:rPr>
          <w:fldChar w:fldCharType="end"/>
        </w:r>
      </w:hyperlink>
    </w:p>
    <w:p w14:paraId="051E4112"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43" w:history="1">
        <w:r w:rsidR="00F06B46" w:rsidRPr="00A12D84">
          <w:rPr>
            <w:rStyle w:val="Hyperlink"/>
            <w:rFonts w:ascii="Arial" w:hAnsi="Arial" w:cs="Arial"/>
            <w:b/>
            <w:bCs/>
            <w:noProof/>
            <w:lang w:val="en-US"/>
          </w:rPr>
          <w:t>Отписване на финансови пасиви</w:t>
        </w:r>
        <w:r w:rsidR="00F06B46">
          <w:rPr>
            <w:noProof/>
            <w:webHidden/>
          </w:rPr>
          <w:tab/>
        </w:r>
        <w:r w:rsidR="00F06B46">
          <w:rPr>
            <w:noProof/>
            <w:webHidden/>
          </w:rPr>
          <w:fldChar w:fldCharType="begin"/>
        </w:r>
        <w:r w:rsidR="00F06B46">
          <w:rPr>
            <w:noProof/>
            <w:webHidden/>
          </w:rPr>
          <w:instrText xml:space="preserve"> PAGEREF _Toc164268343 \h </w:instrText>
        </w:r>
        <w:r w:rsidR="00F06B46">
          <w:rPr>
            <w:noProof/>
            <w:webHidden/>
          </w:rPr>
        </w:r>
        <w:r w:rsidR="00F06B46">
          <w:rPr>
            <w:noProof/>
            <w:webHidden/>
          </w:rPr>
          <w:fldChar w:fldCharType="separate"/>
        </w:r>
        <w:r w:rsidR="0067669F">
          <w:rPr>
            <w:noProof/>
            <w:webHidden/>
          </w:rPr>
          <w:t>20</w:t>
        </w:r>
        <w:r w:rsidR="00F06B46">
          <w:rPr>
            <w:noProof/>
            <w:webHidden/>
          </w:rPr>
          <w:fldChar w:fldCharType="end"/>
        </w:r>
      </w:hyperlink>
    </w:p>
    <w:p w14:paraId="74B30CE7"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44" w:history="1">
        <w:r w:rsidR="00F06B46" w:rsidRPr="00A12D84">
          <w:rPr>
            <w:rStyle w:val="Hyperlink"/>
            <w:rFonts w:ascii="Arial" w:hAnsi="Arial" w:cs="Arial"/>
            <w:b/>
            <w:bCs/>
            <w:noProof/>
            <w:lang w:val="en-US"/>
          </w:rPr>
          <w:t>Лихвени кредити и заеми</w:t>
        </w:r>
        <w:r w:rsidR="00F06B46">
          <w:rPr>
            <w:noProof/>
            <w:webHidden/>
          </w:rPr>
          <w:tab/>
        </w:r>
        <w:r w:rsidR="00F06B46">
          <w:rPr>
            <w:noProof/>
            <w:webHidden/>
          </w:rPr>
          <w:fldChar w:fldCharType="begin"/>
        </w:r>
        <w:r w:rsidR="00F06B46">
          <w:rPr>
            <w:noProof/>
            <w:webHidden/>
          </w:rPr>
          <w:instrText xml:space="preserve"> PAGEREF _Toc164268344 \h </w:instrText>
        </w:r>
        <w:r w:rsidR="00F06B46">
          <w:rPr>
            <w:noProof/>
            <w:webHidden/>
          </w:rPr>
        </w:r>
        <w:r w:rsidR="00F06B46">
          <w:rPr>
            <w:noProof/>
            <w:webHidden/>
          </w:rPr>
          <w:fldChar w:fldCharType="separate"/>
        </w:r>
        <w:r w:rsidR="0067669F">
          <w:rPr>
            <w:noProof/>
            <w:webHidden/>
          </w:rPr>
          <w:t>20</w:t>
        </w:r>
        <w:r w:rsidR="00F06B46">
          <w:rPr>
            <w:noProof/>
            <w:webHidden/>
          </w:rPr>
          <w:fldChar w:fldCharType="end"/>
        </w:r>
      </w:hyperlink>
    </w:p>
    <w:p w14:paraId="1402F10F"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45" w:history="1">
        <w:r w:rsidR="00F06B46" w:rsidRPr="00A12D84">
          <w:rPr>
            <w:rStyle w:val="Hyperlink"/>
            <w:rFonts w:ascii="Arial" w:hAnsi="Arial" w:cs="Arial"/>
            <w:noProof/>
          </w:rPr>
          <w:t xml:space="preserve">Това пояснение представя информация за договорните взаимоотношения на Дружеството относно ангажименти по лихвени кредити и заеми. Информация за въздействието на лихвените проценти е представена в раздел IV, точка 2 </w:t>
        </w:r>
        <w:r w:rsidR="00F06B46" w:rsidRPr="00A12D84">
          <w:rPr>
            <w:rStyle w:val="Hyperlink"/>
            <w:rFonts w:ascii="Arial" w:hAnsi="Arial" w:cs="Arial"/>
            <w:i/>
            <w:noProof/>
          </w:rPr>
          <w:t>Цели и политики на управление на финансовия риск.</w:t>
        </w:r>
        <w:r w:rsidR="00F06B46">
          <w:rPr>
            <w:noProof/>
            <w:webHidden/>
          </w:rPr>
          <w:tab/>
        </w:r>
        <w:r w:rsidR="00F06B46">
          <w:rPr>
            <w:noProof/>
            <w:webHidden/>
          </w:rPr>
          <w:fldChar w:fldCharType="begin"/>
        </w:r>
        <w:r w:rsidR="00F06B46">
          <w:rPr>
            <w:noProof/>
            <w:webHidden/>
          </w:rPr>
          <w:instrText xml:space="preserve"> PAGEREF _Toc164268345 \h </w:instrText>
        </w:r>
        <w:r w:rsidR="00F06B46">
          <w:rPr>
            <w:noProof/>
            <w:webHidden/>
          </w:rPr>
        </w:r>
        <w:r w:rsidR="00F06B46">
          <w:rPr>
            <w:noProof/>
            <w:webHidden/>
          </w:rPr>
          <w:fldChar w:fldCharType="separate"/>
        </w:r>
        <w:r w:rsidR="0067669F">
          <w:rPr>
            <w:noProof/>
            <w:webHidden/>
          </w:rPr>
          <w:t>20</w:t>
        </w:r>
        <w:r w:rsidR="00F06B46">
          <w:rPr>
            <w:noProof/>
            <w:webHidden/>
          </w:rPr>
          <w:fldChar w:fldCharType="end"/>
        </w:r>
      </w:hyperlink>
    </w:p>
    <w:p w14:paraId="4FE678BB"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46" w:history="1">
        <w:r w:rsidR="00F06B46" w:rsidRPr="00A12D84">
          <w:rPr>
            <w:rStyle w:val="Hyperlink"/>
            <w:rFonts w:ascii="Arial" w:hAnsi="Arial" w:cs="Arial"/>
            <w:noProof/>
          </w:rPr>
          <w:t>Лихви, дивиденти, загуби и печалби</w:t>
        </w:r>
        <w:r w:rsidR="00F06B46">
          <w:rPr>
            <w:noProof/>
            <w:webHidden/>
          </w:rPr>
          <w:tab/>
        </w:r>
        <w:r w:rsidR="00F06B46">
          <w:rPr>
            <w:noProof/>
            <w:webHidden/>
          </w:rPr>
          <w:fldChar w:fldCharType="begin"/>
        </w:r>
        <w:r w:rsidR="00F06B46">
          <w:rPr>
            <w:noProof/>
            <w:webHidden/>
          </w:rPr>
          <w:instrText xml:space="preserve"> PAGEREF _Toc164268346 \h </w:instrText>
        </w:r>
        <w:r w:rsidR="00F06B46">
          <w:rPr>
            <w:noProof/>
            <w:webHidden/>
          </w:rPr>
        </w:r>
        <w:r w:rsidR="00F06B46">
          <w:rPr>
            <w:noProof/>
            <w:webHidden/>
          </w:rPr>
          <w:fldChar w:fldCharType="separate"/>
        </w:r>
        <w:r w:rsidR="0067669F">
          <w:rPr>
            <w:noProof/>
            <w:webHidden/>
          </w:rPr>
          <w:t>20</w:t>
        </w:r>
        <w:r w:rsidR="00F06B46">
          <w:rPr>
            <w:noProof/>
            <w:webHidden/>
          </w:rPr>
          <w:fldChar w:fldCharType="end"/>
        </w:r>
      </w:hyperlink>
    </w:p>
    <w:p w14:paraId="57B2852F"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47" w:history="1">
        <w:r w:rsidR="00F06B46" w:rsidRPr="00A12D84">
          <w:rPr>
            <w:rStyle w:val="Hyperlink"/>
            <w:rFonts w:ascii="Arial" w:hAnsi="Arial" w:cs="Arial"/>
            <w:noProof/>
          </w:rPr>
          <w:t>Компенсиране на финансов актив и финансов пасив</w:t>
        </w:r>
        <w:r w:rsidR="00F06B46">
          <w:rPr>
            <w:noProof/>
            <w:webHidden/>
          </w:rPr>
          <w:tab/>
        </w:r>
        <w:r w:rsidR="00F06B46">
          <w:rPr>
            <w:noProof/>
            <w:webHidden/>
          </w:rPr>
          <w:fldChar w:fldCharType="begin"/>
        </w:r>
        <w:r w:rsidR="00F06B46">
          <w:rPr>
            <w:noProof/>
            <w:webHidden/>
          </w:rPr>
          <w:instrText xml:space="preserve"> PAGEREF _Toc164268347 \h </w:instrText>
        </w:r>
        <w:r w:rsidR="00F06B46">
          <w:rPr>
            <w:noProof/>
            <w:webHidden/>
          </w:rPr>
        </w:r>
        <w:r w:rsidR="00F06B46">
          <w:rPr>
            <w:noProof/>
            <w:webHidden/>
          </w:rPr>
          <w:fldChar w:fldCharType="separate"/>
        </w:r>
        <w:r w:rsidR="0067669F">
          <w:rPr>
            <w:noProof/>
            <w:webHidden/>
          </w:rPr>
          <w:t>21</w:t>
        </w:r>
        <w:r w:rsidR="00F06B46">
          <w:rPr>
            <w:noProof/>
            <w:webHidden/>
          </w:rPr>
          <w:fldChar w:fldCharType="end"/>
        </w:r>
      </w:hyperlink>
    </w:p>
    <w:p w14:paraId="76AC4173"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48" w:history="1">
        <w:r w:rsidR="00F06B46" w:rsidRPr="00A12D84">
          <w:rPr>
            <w:rStyle w:val="Hyperlink"/>
            <w:rFonts w:ascii="Arial" w:hAnsi="Arial" w:cs="Arial"/>
            <w:noProof/>
          </w:rPr>
          <w:t>Пари и парични еквиваленти</w:t>
        </w:r>
        <w:r w:rsidR="00F06B46">
          <w:rPr>
            <w:noProof/>
            <w:webHidden/>
          </w:rPr>
          <w:tab/>
        </w:r>
        <w:r w:rsidR="00F06B46">
          <w:rPr>
            <w:noProof/>
            <w:webHidden/>
          </w:rPr>
          <w:fldChar w:fldCharType="begin"/>
        </w:r>
        <w:r w:rsidR="00F06B46">
          <w:rPr>
            <w:noProof/>
            <w:webHidden/>
          </w:rPr>
          <w:instrText xml:space="preserve"> PAGEREF _Toc164268348 \h </w:instrText>
        </w:r>
        <w:r w:rsidR="00F06B46">
          <w:rPr>
            <w:noProof/>
            <w:webHidden/>
          </w:rPr>
        </w:r>
        <w:r w:rsidR="00F06B46">
          <w:rPr>
            <w:noProof/>
            <w:webHidden/>
          </w:rPr>
          <w:fldChar w:fldCharType="separate"/>
        </w:r>
        <w:r w:rsidR="0067669F">
          <w:rPr>
            <w:noProof/>
            <w:webHidden/>
          </w:rPr>
          <w:t>21</w:t>
        </w:r>
        <w:r w:rsidR="00F06B46">
          <w:rPr>
            <w:noProof/>
            <w:webHidden/>
          </w:rPr>
          <w:fldChar w:fldCharType="end"/>
        </w:r>
      </w:hyperlink>
    </w:p>
    <w:p w14:paraId="4957CFC3"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49" w:history="1">
        <w:r w:rsidR="00F06B46" w:rsidRPr="00A12D84">
          <w:rPr>
            <w:rStyle w:val="Hyperlink"/>
            <w:rFonts w:ascii="Arial" w:hAnsi="Arial" w:cs="Arial"/>
            <w:i/>
            <w:noProof/>
          </w:rPr>
          <w:t>РАЗХОДИ ПО ЗАЕМИ</w:t>
        </w:r>
        <w:r w:rsidR="00F06B46">
          <w:rPr>
            <w:noProof/>
            <w:webHidden/>
          </w:rPr>
          <w:tab/>
        </w:r>
        <w:r w:rsidR="00F06B46">
          <w:rPr>
            <w:noProof/>
            <w:webHidden/>
          </w:rPr>
          <w:fldChar w:fldCharType="begin"/>
        </w:r>
        <w:r w:rsidR="00F06B46">
          <w:rPr>
            <w:noProof/>
            <w:webHidden/>
          </w:rPr>
          <w:instrText xml:space="preserve"> PAGEREF _Toc164268349 \h </w:instrText>
        </w:r>
        <w:r w:rsidR="00F06B46">
          <w:rPr>
            <w:noProof/>
            <w:webHidden/>
          </w:rPr>
        </w:r>
        <w:r w:rsidR="00F06B46">
          <w:rPr>
            <w:noProof/>
            <w:webHidden/>
          </w:rPr>
          <w:fldChar w:fldCharType="separate"/>
        </w:r>
        <w:r w:rsidR="0067669F">
          <w:rPr>
            <w:noProof/>
            <w:webHidden/>
          </w:rPr>
          <w:t>21</w:t>
        </w:r>
        <w:r w:rsidR="00F06B46">
          <w:rPr>
            <w:noProof/>
            <w:webHidden/>
          </w:rPr>
          <w:fldChar w:fldCharType="end"/>
        </w:r>
      </w:hyperlink>
    </w:p>
    <w:p w14:paraId="48CA56C3"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50" w:history="1">
        <w:r w:rsidR="00F06B46" w:rsidRPr="00A12D84">
          <w:rPr>
            <w:rStyle w:val="Hyperlink"/>
            <w:rFonts w:ascii="Arial" w:hAnsi="Arial" w:cs="Arial"/>
            <w:i/>
            <w:noProof/>
          </w:rPr>
          <w:t>СДЕЛКИ В ЧУЖДЕСТРАННА ВАЛУТА</w:t>
        </w:r>
        <w:r w:rsidR="00F06B46">
          <w:rPr>
            <w:noProof/>
            <w:webHidden/>
          </w:rPr>
          <w:tab/>
        </w:r>
        <w:r w:rsidR="00F06B46">
          <w:rPr>
            <w:noProof/>
            <w:webHidden/>
          </w:rPr>
          <w:fldChar w:fldCharType="begin"/>
        </w:r>
        <w:r w:rsidR="00F06B46">
          <w:rPr>
            <w:noProof/>
            <w:webHidden/>
          </w:rPr>
          <w:instrText xml:space="preserve"> PAGEREF _Toc164268350 \h </w:instrText>
        </w:r>
        <w:r w:rsidR="00F06B46">
          <w:rPr>
            <w:noProof/>
            <w:webHidden/>
          </w:rPr>
        </w:r>
        <w:r w:rsidR="00F06B46">
          <w:rPr>
            <w:noProof/>
            <w:webHidden/>
          </w:rPr>
          <w:fldChar w:fldCharType="separate"/>
        </w:r>
        <w:r w:rsidR="0067669F">
          <w:rPr>
            <w:noProof/>
            <w:webHidden/>
          </w:rPr>
          <w:t>21</w:t>
        </w:r>
        <w:r w:rsidR="00F06B46">
          <w:rPr>
            <w:noProof/>
            <w:webHidden/>
          </w:rPr>
          <w:fldChar w:fldCharType="end"/>
        </w:r>
      </w:hyperlink>
    </w:p>
    <w:p w14:paraId="156F5866"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51" w:history="1">
        <w:r w:rsidR="00F06B46" w:rsidRPr="00A12D84">
          <w:rPr>
            <w:rStyle w:val="Hyperlink"/>
            <w:rFonts w:ascii="Arial" w:hAnsi="Arial" w:cs="Arial"/>
            <w:i/>
            <w:noProof/>
          </w:rPr>
          <w:t>ПЕНСИОННИ И ДРУГИ ЗАДЪЛЖЕНИЯ КЪМ ПЕРСОНАЛА ПО СОЦИАЛНОТО И ТРУДОВО ЗАКОНОДАТЕЛСТВО</w:t>
        </w:r>
        <w:r w:rsidR="00F06B46">
          <w:rPr>
            <w:noProof/>
            <w:webHidden/>
          </w:rPr>
          <w:tab/>
        </w:r>
        <w:r w:rsidR="00F06B46">
          <w:rPr>
            <w:noProof/>
            <w:webHidden/>
          </w:rPr>
          <w:fldChar w:fldCharType="begin"/>
        </w:r>
        <w:r w:rsidR="00F06B46">
          <w:rPr>
            <w:noProof/>
            <w:webHidden/>
          </w:rPr>
          <w:instrText xml:space="preserve"> PAGEREF _Toc164268351 \h </w:instrText>
        </w:r>
        <w:r w:rsidR="00F06B46">
          <w:rPr>
            <w:noProof/>
            <w:webHidden/>
          </w:rPr>
        </w:r>
        <w:r w:rsidR="00F06B46">
          <w:rPr>
            <w:noProof/>
            <w:webHidden/>
          </w:rPr>
          <w:fldChar w:fldCharType="separate"/>
        </w:r>
        <w:r w:rsidR="0067669F">
          <w:rPr>
            <w:noProof/>
            <w:webHidden/>
          </w:rPr>
          <w:t>22</w:t>
        </w:r>
        <w:r w:rsidR="00F06B46">
          <w:rPr>
            <w:noProof/>
            <w:webHidden/>
          </w:rPr>
          <w:fldChar w:fldCharType="end"/>
        </w:r>
      </w:hyperlink>
    </w:p>
    <w:p w14:paraId="6B9F078F"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52" w:history="1">
        <w:r w:rsidR="00F06B46" w:rsidRPr="00A12D84">
          <w:rPr>
            <w:rStyle w:val="Hyperlink"/>
            <w:rFonts w:ascii="Arial" w:hAnsi="Arial" w:cs="Arial"/>
            <w:i/>
            <w:noProof/>
          </w:rPr>
          <w:t>ДАНЪЦИ ВЪРХУ ДОХОДА И ДДС</w:t>
        </w:r>
        <w:r w:rsidR="00F06B46">
          <w:rPr>
            <w:noProof/>
            <w:webHidden/>
          </w:rPr>
          <w:tab/>
        </w:r>
        <w:r w:rsidR="00F06B46">
          <w:rPr>
            <w:noProof/>
            <w:webHidden/>
          </w:rPr>
          <w:fldChar w:fldCharType="begin"/>
        </w:r>
        <w:r w:rsidR="00F06B46">
          <w:rPr>
            <w:noProof/>
            <w:webHidden/>
          </w:rPr>
          <w:instrText xml:space="preserve"> PAGEREF _Toc164268352 \h </w:instrText>
        </w:r>
        <w:r w:rsidR="00F06B46">
          <w:rPr>
            <w:noProof/>
            <w:webHidden/>
          </w:rPr>
        </w:r>
        <w:r w:rsidR="00F06B46">
          <w:rPr>
            <w:noProof/>
            <w:webHidden/>
          </w:rPr>
          <w:fldChar w:fldCharType="separate"/>
        </w:r>
        <w:r w:rsidR="0067669F">
          <w:rPr>
            <w:noProof/>
            <w:webHidden/>
          </w:rPr>
          <w:t>23</w:t>
        </w:r>
        <w:r w:rsidR="00F06B46">
          <w:rPr>
            <w:noProof/>
            <w:webHidden/>
          </w:rPr>
          <w:fldChar w:fldCharType="end"/>
        </w:r>
      </w:hyperlink>
    </w:p>
    <w:p w14:paraId="4EF1F63B"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53" w:history="1">
        <w:r w:rsidR="00F06B46" w:rsidRPr="00A12D84">
          <w:rPr>
            <w:rStyle w:val="Hyperlink"/>
            <w:rFonts w:ascii="Arial" w:hAnsi="Arial" w:cs="Arial"/>
            <w:noProof/>
          </w:rPr>
          <w:t>Данък върху добавената стойност (ДДС)</w:t>
        </w:r>
        <w:r w:rsidR="00F06B46">
          <w:rPr>
            <w:noProof/>
            <w:webHidden/>
          </w:rPr>
          <w:tab/>
        </w:r>
        <w:r w:rsidR="00F06B46">
          <w:rPr>
            <w:noProof/>
            <w:webHidden/>
          </w:rPr>
          <w:fldChar w:fldCharType="begin"/>
        </w:r>
        <w:r w:rsidR="00F06B46">
          <w:rPr>
            <w:noProof/>
            <w:webHidden/>
          </w:rPr>
          <w:instrText xml:space="preserve"> PAGEREF _Toc164268353 \h </w:instrText>
        </w:r>
        <w:r w:rsidR="00F06B46">
          <w:rPr>
            <w:noProof/>
            <w:webHidden/>
          </w:rPr>
        </w:r>
        <w:r w:rsidR="00F06B46">
          <w:rPr>
            <w:noProof/>
            <w:webHidden/>
          </w:rPr>
          <w:fldChar w:fldCharType="separate"/>
        </w:r>
        <w:r w:rsidR="0067669F">
          <w:rPr>
            <w:noProof/>
            <w:webHidden/>
          </w:rPr>
          <w:t>24</w:t>
        </w:r>
        <w:r w:rsidR="00F06B46">
          <w:rPr>
            <w:noProof/>
            <w:webHidden/>
          </w:rPr>
          <w:fldChar w:fldCharType="end"/>
        </w:r>
      </w:hyperlink>
    </w:p>
    <w:p w14:paraId="338003E2"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54" w:history="1">
        <w:r w:rsidR="00F06B46" w:rsidRPr="00A12D84">
          <w:rPr>
            <w:rStyle w:val="Hyperlink"/>
            <w:rFonts w:ascii="Arial" w:hAnsi="Arial" w:cs="Arial"/>
            <w:i/>
            <w:noProof/>
          </w:rPr>
          <w:t>ПРОВИЗИИ</w:t>
        </w:r>
        <w:r w:rsidR="00F06B46">
          <w:rPr>
            <w:noProof/>
            <w:webHidden/>
          </w:rPr>
          <w:tab/>
        </w:r>
        <w:r w:rsidR="00F06B46">
          <w:rPr>
            <w:noProof/>
            <w:webHidden/>
          </w:rPr>
          <w:fldChar w:fldCharType="begin"/>
        </w:r>
        <w:r w:rsidR="00F06B46">
          <w:rPr>
            <w:noProof/>
            <w:webHidden/>
          </w:rPr>
          <w:instrText xml:space="preserve"> PAGEREF _Toc164268354 \h </w:instrText>
        </w:r>
        <w:r w:rsidR="00F06B46">
          <w:rPr>
            <w:noProof/>
            <w:webHidden/>
          </w:rPr>
        </w:r>
        <w:r w:rsidR="00F06B46">
          <w:rPr>
            <w:noProof/>
            <w:webHidden/>
          </w:rPr>
          <w:fldChar w:fldCharType="separate"/>
        </w:r>
        <w:r w:rsidR="0067669F">
          <w:rPr>
            <w:noProof/>
            <w:webHidden/>
          </w:rPr>
          <w:t>24</w:t>
        </w:r>
        <w:r w:rsidR="00F06B46">
          <w:rPr>
            <w:noProof/>
            <w:webHidden/>
          </w:rPr>
          <w:fldChar w:fldCharType="end"/>
        </w:r>
      </w:hyperlink>
    </w:p>
    <w:p w14:paraId="5121D5C2"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55" w:history="1">
        <w:r w:rsidR="00F06B46" w:rsidRPr="00A12D84">
          <w:rPr>
            <w:rStyle w:val="Hyperlink"/>
            <w:rFonts w:ascii="Arial" w:hAnsi="Arial" w:cs="Arial"/>
            <w:i/>
            <w:noProof/>
          </w:rPr>
          <w:t>КАПИТАЛ</w:t>
        </w:r>
        <w:r w:rsidR="00F06B46">
          <w:rPr>
            <w:noProof/>
            <w:webHidden/>
          </w:rPr>
          <w:tab/>
        </w:r>
        <w:r w:rsidR="00F06B46">
          <w:rPr>
            <w:noProof/>
            <w:webHidden/>
          </w:rPr>
          <w:fldChar w:fldCharType="begin"/>
        </w:r>
        <w:r w:rsidR="00F06B46">
          <w:rPr>
            <w:noProof/>
            <w:webHidden/>
          </w:rPr>
          <w:instrText xml:space="preserve"> PAGEREF _Toc164268355 \h </w:instrText>
        </w:r>
        <w:r w:rsidR="00F06B46">
          <w:rPr>
            <w:noProof/>
            <w:webHidden/>
          </w:rPr>
        </w:r>
        <w:r w:rsidR="00F06B46">
          <w:rPr>
            <w:noProof/>
            <w:webHidden/>
          </w:rPr>
          <w:fldChar w:fldCharType="separate"/>
        </w:r>
        <w:r w:rsidR="0067669F">
          <w:rPr>
            <w:noProof/>
            <w:webHidden/>
          </w:rPr>
          <w:t>24</w:t>
        </w:r>
        <w:r w:rsidR="00F06B46">
          <w:rPr>
            <w:noProof/>
            <w:webHidden/>
          </w:rPr>
          <w:fldChar w:fldCharType="end"/>
        </w:r>
      </w:hyperlink>
    </w:p>
    <w:p w14:paraId="1A125975"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56" w:history="1">
        <w:r w:rsidR="00F06B46" w:rsidRPr="00A12D84">
          <w:rPr>
            <w:rStyle w:val="Hyperlink"/>
            <w:rFonts w:ascii="Arial" w:hAnsi="Arial" w:cs="Arial"/>
            <w:noProof/>
          </w:rPr>
          <w:t>Разпределяне на дивидент</w:t>
        </w:r>
        <w:r w:rsidR="00F06B46">
          <w:rPr>
            <w:noProof/>
            <w:webHidden/>
          </w:rPr>
          <w:tab/>
        </w:r>
        <w:r w:rsidR="00F06B46">
          <w:rPr>
            <w:noProof/>
            <w:webHidden/>
          </w:rPr>
          <w:fldChar w:fldCharType="begin"/>
        </w:r>
        <w:r w:rsidR="00F06B46">
          <w:rPr>
            <w:noProof/>
            <w:webHidden/>
          </w:rPr>
          <w:instrText xml:space="preserve"> PAGEREF _Toc164268356 \h </w:instrText>
        </w:r>
        <w:r w:rsidR="00F06B46">
          <w:rPr>
            <w:noProof/>
            <w:webHidden/>
          </w:rPr>
        </w:r>
        <w:r w:rsidR="00F06B46">
          <w:rPr>
            <w:noProof/>
            <w:webHidden/>
          </w:rPr>
          <w:fldChar w:fldCharType="separate"/>
        </w:r>
        <w:r w:rsidR="0067669F">
          <w:rPr>
            <w:noProof/>
            <w:webHidden/>
          </w:rPr>
          <w:t>24</w:t>
        </w:r>
        <w:r w:rsidR="00F06B46">
          <w:rPr>
            <w:noProof/>
            <w:webHidden/>
          </w:rPr>
          <w:fldChar w:fldCharType="end"/>
        </w:r>
      </w:hyperlink>
    </w:p>
    <w:p w14:paraId="4CFE9925"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57" w:history="1">
        <w:r w:rsidR="00F06B46" w:rsidRPr="00A12D84">
          <w:rPr>
            <w:rStyle w:val="Hyperlink"/>
            <w:rFonts w:ascii="Arial" w:hAnsi="Arial" w:cs="Arial"/>
            <w:noProof/>
          </w:rPr>
          <w:t>Собствени акции</w:t>
        </w:r>
        <w:r w:rsidR="00F06B46">
          <w:rPr>
            <w:noProof/>
            <w:webHidden/>
          </w:rPr>
          <w:tab/>
        </w:r>
        <w:r w:rsidR="00F06B46">
          <w:rPr>
            <w:noProof/>
            <w:webHidden/>
          </w:rPr>
          <w:fldChar w:fldCharType="begin"/>
        </w:r>
        <w:r w:rsidR="00F06B46">
          <w:rPr>
            <w:noProof/>
            <w:webHidden/>
          </w:rPr>
          <w:instrText xml:space="preserve"> PAGEREF _Toc164268357 \h </w:instrText>
        </w:r>
        <w:r w:rsidR="00F06B46">
          <w:rPr>
            <w:noProof/>
            <w:webHidden/>
          </w:rPr>
        </w:r>
        <w:r w:rsidR="00F06B46">
          <w:rPr>
            <w:noProof/>
            <w:webHidden/>
          </w:rPr>
          <w:fldChar w:fldCharType="separate"/>
        </w:r>
        <w:r w:rsidR="0067669F">
          <w:rPr>
            <w:noProof/>
            <w:webHidden/>
          </w:rPr>
          <w:t>24</w:t>
        </w:r>
        <w:r w:rsidR="00F06B46">
          <w:rPr>
            <w:noProof/>
            <w:webHidden/>
          </w:rPr>
          <w:fldChar w:fldCharType="end"/>
        </w:r>
      </w:hyperlink>
    </w:p>
    <w:p w14:paraId="5E4610C2"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58" w:history="1">
        <w:r w:rsidR="00F06B46" w:rsidRPr="00A12D84">
          <w:rPr>
            <w:rStyle w:val="Hyperlink"/>
            <w:rFonts w:ascii="Arial" w:hAnsi="Arial" w:cs="Arial"/>
            <w:i/>
            <w:noProof/>
          </w:rPr>
          <w:t>ОПРЕДЕЛЯНЕ НА СПРАВЕДЛИВА СТОЙНОСТ</w:t>
        </w:r>
        <w:r w:rsidR="00F06B46">
          <w:rPr>
            <w:noProof/>
            <w:webHidden/>
          </w:rPr>
          <w:tab/>
        </w:r>
        <w:r w:rsidR="00F06B46">
          <w:rPr>
            <w:noProof/>
            <w:webHidden/>
          </w:rPr>
          <w:fldChar w:fldCharType="begin"/>
        </w:r>
        <w:r w:rsidR="00F06B46">
          <w:rPr>
            <w:noProof/>
            <w:webHidden/>
          </w:rPr>
          <w:instrText xml:space="preserve"> PAGEREF _Toc164268358 \h </w:instrText>
        </w:r>
        <w:r w:rsidR="00F06B46">
          <w:rPr>
            <w:noProof/>
            <w:webHidden/>
          </w:rPr>
        </w:r>
        <w:r w:rsidR="00F06B46">
          <w:rPr>
            <w:noProof/>
            <w:webHidden/>
          </w:rPr>
          <w:fldChar w:fldCharType="separate"/>
        </w:r>
        <w:r w:rsidR="0067669F">
          <w:rPr>
            <w:noProof/>
            <w:webHidden/>
          </w:rPr>
          <w:t>25</w:t>
        </w:r>
        <w:r w:rsidR="00F06B46">
          <w:rPr>
            <w:noProof/>
            <w:webHidden/>
          </w:rPr>
          <w:fldChar w:fldCharType="end"/>
        </w:r>
      </w:hyperlink>
    </w:p>
    <w:p w14:paraId="40FDC708"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59" w:history="1">
        <w:r w:rsidR="00F06B46" w:rsidRPr="00A12D84">
          <w:rPr>
            <w:rStyle w:val="Hyperlink"/>
            <w:rFonts w:ascii="Arial" w:hAnsi="Arial" w:cs="Arial"/>
            <w:i/>
            <w:noProof/>
          </w:rPr>
          <w:t>КРИТИЧНИ СЧЕТОВОДНИ ПРЕЦЕНКИ И ПРИБЛИЗИТЕЛНИ ОЦЕНКИ</w:t>
        </w:r>
        <w:r w:rsidR="00F06B46">
          <w:rPr>
            <w:noProof/>
            <w:webHidden/>
          </w:rPr>
          <w:tab/>
        </w:r>
        <w:r w:rsidR="00F06B46">
          <w:rPr>
            <w:noProof/>
            <w:webHidden/>
          </w:rPr>
          <w:fldChar w:fldCharType="begin"/>
        </w:r>
        <w:r w:rsidR="00F06B46">
          <w:rPr>
            <w:noProof/>
            <w:webHidden/>
          </w:rPr>
          <w:instrText xml:space="preserve"> PAGEREF _Toc164268359 \h </w:instrText>
        </w:r>
        <w:r w:rsidR="00F06B46">
          <w:rPr>
            <w:noProof/>
            <w:webHidden/>
          </w:rPr>
        </w:r>
        <w:r w:rsidR="00F06B46">
          <w:rPr>
            <w:noProof/>
            <w:webHidden/>
          </w:rPr>
          <w:fldChar w:fldCharType="separate"/>
        </w:r>
        <w:r w:rsidR="0067669F">
          <w:rPr>
            <w:noProof/>
            <w:webHidden/>
          </w:rPr>
          <w:t>26</w:t>
        </w:r>
        <w:r w:rsidR="00F06B46">
          <w:rPr>
            <w:noProof/>
            <w:webHidden/>
          </w:rPr>
          <w:fldChar w:fldCharType="end"/>
        </w:r>
      </w:hyperlink>
    </w:p>
    <w:p w14:paraId="62C94E9A"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60" w:history="1">
        <w:r w:rsidR="00F06B46" w:rsidRPr="00A12D84">
          <w:rPr>
            <w:rStyle w:val="Hyperlink"/>
            <w:rFonts w:ascii="Arial" w:hAnsi="Arial" w:cs="Arial"/>
            <w:noProof/>
          </w:rPr>
          <w:t>Тестове за обезценка на финансови активи</w:t>
        </w:r>
        <w:r w:rsidR="00F06B46">
          <w:rPr>
            <w:noProof/>
            <w:webHidden/>
          </w:rPr>
          <w:tab/>
        </w:r>
        <w:r w:rsidR="00F06B46">
          <w:rPr>
            <w:noProof/>
            <w:webHidden/>
          </w:rPr>
          <w:fldChar w:fldCharType="begin"/>
        </w:r>
        <w:r w:rsidR="00F06B46">
          <w:rPr>
            <w:noProof/>
            <w:webHidden/>
          </w:rPr>
          <w:instrText xml:space="preserve"> PAGEREF _Toc164268360 \h </w:instrText>
        </w:r>
        <w:r w:rsidR="00F06B46">
          <w:rPr>
            <w:noProof/>
            <w:webHidden/>
          </w:rPr>
        </w:r>
        <w:r w:rsidR="00F06B46">
          <w:rPr>
            <w:noProof/>
            <w:webHidden/>
          </w:rPr>
          <w:fldChar w:fldCharType="separate"/>
        </w:r>
        <w:r w:rsidR="0067669F">
          <w:rPr>
            <w:noProof/>
            <w:webHidden/>
          </w:rPr>
          <w:t>26</w:t>
        </w:r>
        <w:r w:rsidR="00F06B46">
          <w:rPr>
            <w:noProof/>
            <w:webHidden/>
          </w:rPr>
          <w:fldChar w:fldCharType="end"/>
        </w:r>
      </w:hyperlink>
    </w:p>
    <w:p w14:paraId="5FD95BD6"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61" w:history="1">
        <w:r w:rsidR="00F06B46" w:rsidRPr="00A12D84">
          <w:rPr>
            <w:rStyle w:val="Hyperlink"/>
            <w:rFonts w:ascii="Arial" w:hAnsi="Arial" w:cs="Arial"/>
            <w:noProof/>
          </w:rPr>
          <w:t>Справедливата стойност на некотирани инвестиции</w:t>
        </w:r>
        <w:r w:rsidR="00F06B46">
          <w:rPr>
            <w:noProof/>
            <w:webHidden/>
          </w:rPr>
          <w:tab/>
        </w:r>
        <w:r w:rsidR="00F06B46">
          <w:rPr>
            <w:noProof/>
            <w:webHidden/>
          </w:rPr>
          <w:fldChar w:fldCharType="begin"/>
        </w:r>
        <w:r w:rsidR="00F06B46">
          <w:rPr>
            <w:noProof/>
            <w:webHidden/>
          </w:rPr>
          <w:instrText xml:space="preserve"> PAGEREF _Toc164268361 \h </w:instrText>
        </w:r>
        <w:r w:rsidR="00F06B46">
          <w:rPr>
            <w:noProof/>
            <w:webHidden/>
          </w:rPr>
        </w:r>
        <w:r w:rsidR="00F06B46">
          <w:rPr>
            <w:noProof/>
            <w:webHidden/>
          </w:rPr>
          <w:fldChar w:fldCharType="separate"/>
        </w:r>
        <w:r w:rsidR="0067669F">
          <w:rPr>
            <w:noProof/>
            <w:webHidden/>
          </w:rPr>
          <w:t>27</w:t>
        </w:r>
        <w:r w:rsidR="00F06B46">
          <w:rPr>
            <w:noProof/>
            <w:webHidden/>
          </w:rPr>
          <w:fldChar w:fldCharType="end"/>
        </w:r>
      </w:hyperlink>
    </w:p>
    <w:p w14:paraId="30A4FE2E"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62" w:history="1">
        <w:r w:rsidR="00F06B46" w:rsidRPr="00A12D84">
          <w:rPr>
            <w:rStyle w:val="Hyperlink"/>
            <w:rFonts w:ascii="Arial" w:hAnsi="Arial" w:cs="Arial"/>
            <w:noProof/>
          </w:rPr>
          <w:t>Приблизителна оценка на отсрочените данъци</w:t>
        </w:r>
        <w:r w:rsidR="00F06B46">
          <w:rPr>
            <w:noProof/>
            <w:webHidden/>
          </w:rPr>
          <w:tab/>
        </w:r>
        <w:r w:rsidR="00F06B46">
          <w:rPr>
            <w:noProof/>
            <w:webHidden/>
          </w:rPr>
          <w:fldChar w:fldCharType="begin"/>
        </w:r>
        <w:r w:rsidR="00F06B46">
          <w:rPr>
            <w:noProof/>
            <w:webHidden/>
          </w:rPr>
          <w:instrText xml:space="preserve"> PAGEREF _Toc164268362 \h </w:instrText>
        </w:r>
        <w:r w:rsidR="00F06B46">
          <w:rPr>
            <w:noProof/>
            <w:webHidden/>
          </w:rPr>
        </w:r>
        <w:r w:rsidR="00F06B46">
          <w:rPr>
            <w:noProof/>
            <w:webHidden/>
          </w:rPr>
          <w:fldChar w:fldCharType="separate"/>
        </w:r>
        <w:r w:rsidR="0067669F">
          <w:rPr>
            <w:noProof/>
            <w:webHidden/>
          </w:rPr>
          <w:t>27</w:t>
        </w:r>
        <w:r w:rsidR="00F06B46">
          <w:rPr>
            <w:noProof/>
            <w:webHidden/>
          </w:rPr>
          <w:fldChar w:fldCharType="end"/>
        </w:r>
      </w:hyperlink>
    </w:p>
    <w:p w14:paraId="44B7F198"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63" w:history="1">
        <w:r w:rsidR="00F06B46" w:rsidRPr="00A12D84">
          <w:rPr>
            <w:rStyle w:val="Hyperlink"/>
            <w:rFonts w:ascii="Arial" w:hAnsi="Arial" w:cs="Arial"/>
            <w:noProof/>
          </w:rPr>
          <w:t>Условни активи и пасиви</w:t>
        </w:r>
        <w:r w:rsidR="00F06B46">
          <w:rPr>
            <w:noProof/>
            <w:webHidden/>
          </w:rPr>
          <w:tab/>
        </w:r>
        <w:r w:rsidR="00F06B46">
          <w:rPr>
            <w:noProof/>
            <w:webHidden/>
          </w:rPr>
          <w:fldChar w:fldCharType="begin"/>
        </w:r>
        <w:r w:rsidR="00F06B46">
          <w:rPr>
            <w:noProof/>
            <w:webHidden/>
          </w:rPr>
          <w:instrText xml:space="preserve"> PAGEREF _Toc164268363 \h </w:instrText>
        </w:r>
        <w:r w:rsidR="00F06B46">
          <w:rPr>
            <w:noProof/>
            <w:webHidden/>
          </w:rPr>
        </w:r>
        <w:r w:rsidR="00F06B46">
          <w:rPr>
            <w:noProof/>
            <w:webHidden/>
          </w:rPr>
          <w:fldChar w:fldCharType="separate"/>
        </w:r>
        <w:r w:rsidR="0067669F">
          <w:rPr>
            <w:noProof/>
            <w:webHidden/>
          </w:rPr>
          <w:t>27</w:t>
        </w:r>
        <w:r w:rsidR="00F06B46">
          <w:rPr>
            <w:noProof/>
            <w:webHidden/>
          </w:rPr>
          <w:fldChar w:fldCharType="end"/>
        </w:r>
      </w:hyperlink>
    </w:p>
    <w:p w14:paraId="5FBC279D"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64" w:history="1">
        <w:r w:rsidR="00F06B46" w:rsidRPr="00A12D84">
          <w:rPr>
            <w:rStyle w:val="Hyperlink"/>
            <w:rFonts w:ascii="Arial" w:hAnsi="Arial" w:cs="Arial"/>
            <w:i/>
            <w:noProof/>
          </w:rPr>
          <w:t>СВЪРЗАНИ ЛИЦА И СДЕЛКИ МЕЖДУ ТЯХ</w:t>
        </w:r>
        <w:r w:rsidR="00F06B46">
          <w:rPr>
            <w:noProof/>
            <w:webHidden/>
          </w:rPr>
          <w:tab/>
        </w:r>
        <w:r w:rsidR="00F06B46">
          <w:rPr>
            <w:noProof/>
            <w:webHidden/>
          </w:rPr>
          <w:fldChar w:fldCharType="begin"/>
        </w:r>
        <w:r w:rsidR="00F06B46">
          <w:rPr>
            <w:noProof/>
            <w:webHidden/>
          </w:rPr>
          <w:instrText xml:space="preserve"> PAGEREF _Toc164268364 \h </w:instrText>
        </w:r>
        <w:r w:rsidR="00F06B46">
          <w:rPr>
            <w:noProof/>
            <w:webHidden/>
          </w:rPr>
        </w:r>
        <w:r w:rsidR="00F06B46">
          <w:rPr>
            <w:noProof/>
            <w:webHidden/>
          </w:rPr>
          <w:fldChar w:fldCharType="separate"/>
        </w:r>
        <w:r w:rsidR="0067669F">
          <w:rPr>
            <w:noProof/>
            <w:webHidden/>
          </w:rPr>
          <w:t>27</w:t>
        </w:r>
        <w:r w:rsidR="00F06B46">
          <w:rPr>
            <w:noProof/>
            <w:webHidden/>
          </w:rPr>
          <w:fldChar w:fldCharType="end"/>
        </w:r>
      </w:hyperlink>
    </w:p>
    <w:p w14:paraId="5048923E" w14:textId="77777777" w:rsidR="00F06B46" w:rsidRDefault="00000000">
      <w:pPr>
        <w:pStyle w:val="TOC1"/>
        <w:rPr>
          <w:rFonts w:asciiTheme="minorHAnsi" w:eastAsiaTheme="minorEastAsia" w:hAnsiTheme="minorHAnsi" w:cstheme="minorBidi"/>
          <w:bCs w:val="0"/>
          <w:snapToGrid/>
          <w:lang w:eastAsia="bg-BG"/>
        </w:rPr>
      </w:pPr>
      <w:hyperlink w:anchor="_Toc164268365" w:history="1">
        <w:r w:rsidR="00F06B46" w:rsidRPr="00A12D84">
          <w:rPr>
            <w:rStyle w:val="Hyperlink"/>
            <w:rFonts w:ascii="Arial" w:hAnsi="Arial" w:cs="Arial"/>
          </w:rPr>
          <w:t>III. ДОПЪЛНИТЕЛНА ИНФОРМАЦИЯ КЪМ СТАТИИТЕ НА ИНДИВИДУАЛНИЯ ФИНАНСОВ ОТЧЕТ</w:t>
        </w:r>
        <w:r w:rsidR="00F06B46">
          <w:rPr>
            <w:webHidden/>
          </w:rPr>
          <w:tab/>
        </w:r>
        <w:r w:rsidR="00F06B46">
          <w:rPr>
            <w:webHidden/>
          </w:rPr>
          <w:fldChar w:fldCharType="begin"/>
        </w:r>
        <w:r w:rsidR="00F06B46">
          <w:rPr>
            <w:webHidden/>
          </w:rPr>
          <w:instrText xml:space="preserve"> PAGEREF _Toc164268365 \h </w:instrText>
        </w:r>
        <w:r w:rsidR="00F06B46">
          <w:rPr>
            <w:webHidden/>
          </w:rPr>
        </w:r>
        <w:r w:rsidR="00F06B46">
          <w:rPr>
            <w:webHidden/>
          </w:rPr>
          <w:fldChar w:fldCharType="separate"/>
        </w:r>
        <w:r w:rsidR="0067669F">
          <w:rPr>
            <w:webHidden/>
          </w:rPr>
          <w:t>28</w:t>
        </w:r>
        <w:r w:rsidR="00F06B46">
          <w:rPr>
            <w:webHidden/>
          </w:rPr>
          <w:fldChar w:fldCharType="end"/>
        </w:r>
      </w:hyperlink>
    </w:p>
    <w:p w14:paraId="0B1F370F"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66" w:history="1">
        <w:r w:rsidR="00F06B46" w:rsidRPr="00A12D84">
          <w:rPr>
            <w:rStyle w:val="Hyperlink"/>
            <w:rFonts w:ascii="Arial" w:hAnsi="Arial" w:cs="Arial"/>
            <w:i/>
            <w:noProof/>
          </w:rPr>
          <w:t>1.Индивидуален отчет за печалбата или загубата и другия всеобхватен доход</w:t>
        </w:r>
        <w:r w:rsidR="00F06B46">
          <w:rPr>
            <w:noProof/>
            <w:webHidden/>
          </w:rPr>
          <w:tab/>
        </w:r>
        <w:r w:rsidR="00F06B46">
          <w:rPr>
            <w:noProof/>
            <w:webHidden/>
          </w:rPr>
          <w:fldChar w:fldCharType="begin"/>
        </w:r>
        <w:r w:rsidR="00F06B46">
          <w:rPr>
            <w:noProof/>
            <w:webHidden/>
          </w:rPr>
          <w:instrText xml:space="preserve"> PAGEREF _Toc164268366 \h </w:instrText>
        </w:r>
        <w:r w:rsidR="00F06B46">
          <w:rPr>
            <w:noProof/>
            <w:webHidden/>
          </w:rPr>
        </w:r>
        <w:r w:rsidR="00F06B46">
          <w:rPr>
            <w:noProof/>
            <w:webHidden/>
          </w:rPr>
          <w:fldChar w:fldCharType="separate"/>
        </w:r>
        <w:r w:rsidR="0067669F">
          <w:rPr>
            <w:noProof/>
            <w:webHidden/>
          </w:rPr>
          <w:t>28</w:t>
        </w:r>
        <w:r w:rsidR="00F06B46">
          <w:rPr>
            <w:noProof/>
            <w:webHidden/>
          </w:rPr>
          <w:fldChar w:fldCharType="end"/>
        </w:r>
      </w:hyperlink>
    </w:p>
    <w:p w14:paraId="478FE874" w14:textId="77777777" w:rsidR="00F06B46" w:rsidRDefault="00000000">
      <w:pPr>
        <w:pStyle w:val="TOC4"/>
        <w:tabs>
          <w:tab w:val="left" w:pos="1320"/>
          <w:tab w:val="right" w:leader="dot" w:pos="9457"/>
        </w:tabs>
        <w:rPr>
          <w:rFonts w:asciiTheme="minorHAnsi" w:eastAsiaTheme="minorEastAsia" w:hAnsiTheme="minorHAnsi" w:cstheme="minorBidi"/>
          <w:noProof/>
        </w:rPr>
      </w:pPr>
      <w:hyperlink w:anchor="_Toc164268367" w:history="1">
        <w:r w:rsidR="00F06B46" w:rsidRPr="00A12D84">
          <w:rPr>
            <w:rStyle w:val="Hyperlink"/>
            <w:rFonts w:ascii="Arial" w:hAnsi="Arial" w:cs="Arial"/>
            <w:noProof/>
          </w:rPr>
          <w:t>1.1.</w:t>
        </w:r>
        <w:r w:rsidR="00F06B46">
          <w:rPr>
            <w:rFonts w:asciiTheme="minorHAnsi" w:eastAsiaTheme="minorEastAsia" w:hAnsiTheme="minorHAnsi" w:cstheme="minorBidi"/>
            <w:noProof/>
          </w:rPr>
          <w:tab/>
        </w:r>
        <w:r w:rsidR="00F06B46" w:rsidRPr="00A12D84">
          <w:rPr>
            <w:rStyle w:val="Hyperlink"/>
            <w:rFonts w:ascii="Arial" w:hAnsi="Arial" w:cs="Arial"/>
            <w:noProof/>
          </w:rPr>
          <w:t>Разходи за външни услуги</w:t>
        </w:r>
        <w:r w:rsidR="00F06B46">
          <w:rPr>
            <w:noProof/>
            <w:webHidden/>
          </w:rPr>
          <w:tab/>
        </w:r>
        <w:r w:rsidR="00F06B46">
          <w:rPr>
            <w:noProof/>
            <w:webHidden/>
          </w:rPr>
          <w:fldChar w:fldCharType="begin"/>
        </w:r>
        <w:r w:rsidR="00F06B46">
          <w:rPr>
            <w:noProof/>
            <w:webHidden/>
          </w:rPr>
          <w:instrText xml:space="preserve"> PAGEREF _Toc164268367 \h </w:instrText>
        </w:r>
        <w:r w:rsidR="00F06B46">
          <w:rPr>
            <w:noProof/>
            <w:webHidden/>
          </w:rPr>
        </w:r>
        <w:r w:rsidR="00F06B46">
          <w:rPr>
            <w:noProof/>
            <w:webHidden/>
          </w:rPr>
          <w:fldChar w:fldCharType="separate"/>
        </w:r>
        <w:r w:rsidR="0067669F">
          <w:rPr>
            <w:noProof/>
            <w:webHidden/>
          </w:rPr>
          <w:t>28</w:t>
        </w:r>
        <w:r w:rsidR="00F06B46">
          <w:rPr>
            <w:noProof/>
            <w:webHidden/>
          </w:rPr>
          <w:fldChar w:fldCharType="end"/>
        </w:r>
      </w:hyperlink>
    </w:p>
    <w:p w14:paraId="76D59835" w14:textId="77777777" w:rsidR="00F06B46" w:rsidRDefault="00000000">
      <w:pPr>
        <w:pStyle w:val="TOC4"/>
        <w:tabs>
          <w:tab w:val="left" w:pos="1320"/>
          <w:tab w:val="right" w:leader="dot" w:pos="9457"/>
        </w:tabs>
        <w:rPr>
          <w:rFonts w:asciiTheme="minorHAnsi" w:eastAsiaTheme="minorEastAsia" w:hAnsiTheme="minorHAnsi" w:cstheme="minorBidi"/>
          <w:noProof/>
        </w:rPr>
      </w:pPr>
      <w:hyperlink w:anchor="_Toc164268368" w:history="1">
        <w:r w:rsidR="00F06B46" w:rsidRPr="00A12D84">
          <w:rPr>
            <w:rStyle w:val="Hyperlink"/>
            <w:rFonts w:ascii="Arial" w:hAnsi="Arial" w:cs="Arial"/>
            <w:noProof/>
          </w:rPr>
          <w:t>1.2.</w:t>
        </w:r>
        <w:r w:rsidR="00F06B46">
          <w:rPr>
            <w:rFonts w:asciiTheme="minorHAnsi" w:eastAsiaTheme="minorEastAsia" w:hAnsiTheme="minorHAnsi" w:cstheme="minorBidi"/>
            <w:noProof/>
          </w:rPr>
          <w:tab/>
        </w:r>
        <w:r w:rsidR="00F06B46" w:rsidRPr="00A12D84">
          <w:rPr>
            <w:rStyle w:val="Hyperlink"/>
            <w:rFonts w:ascii="Arial" w:hAnsi="Arial" w:cs="Arial"/>
            <w:noProof/>
          </w:rPr>
          <w:t>Разходи за персонала</w:t>
        </w:r>
        <w:r w:rsidR="00F06B46">
          <w:rPr>
            <w:noProof/>
            <w:webHidden/>
          </w:rPr>
          <w:tab/>
        </w:r>
        <w:r w:rsidR="00F06B46">
          <w:rPr>
            <w:noProof/>
            <w:webHidden/>
          </w:rPr>
          <w:fldChar w:fldCharType="begin"/>
        </w:r>
        <w:r w:rsidR="00F06B46">
          <w:rPr>
            <w:noProof/>
            <w:webHidden/>
          </w:rPr>
          <w:instrText xml:space="preserve"> PAGEREF _Toc164268368 \h </w:instrText>
        </w:r>
        <w:r w:rsidR="00F06B46">
          <w:rPr>
            <w:noProof/>
            <w:webHidden/>
          </w:rPr>
        </w:r>
        <w:r w:rsidR="00F06B46">
          <w:rPr>
            <w:noProof/>
            <w:webHidden/>
          </w:rPr>
          <w:fldChar w:fldCharType="separate"/>
        </w:r>
        <w:r w:rsidR="0067669F">
          <w:rPr>
            <w:noProof/>
            <w:webHidden/>
          </w:rPr>
          <w:t>28</w:t>
        </w:r>
        <w:r w:rsidR="00F06B46">
          <w:rPr>
            <w:noProof/>
            <w:webHidden/>
          </w:rPr>
          <w:fldChar w:fldCharType="end"/>
        </w:r>
      </w:hyperlink>
    </w:p>
    <w:p w14:paraId="7B3D22EF" w14:textId="77777777" w:rsidR="00F06B46" w:rsidRDefault="00000000">
      <w:pPr>
        <w:pStyle w:val="TOC3"/>
        <w:tabs>
          <w:tab w:val="left" w:pos="1100"/>
          <w:tab w:val="right" w:leader="dot" w:pos="9457"/>
        </w:tabs>
        <w:rPr>
          <w:rFonts w:asciiTheme="minorHAnsi" w:eastAsiaTheme="minorEastAsia" w:hAnsiTheme="minorHAnsi" w:cstheme="minorBidi"/>
          <w:noProof/>
          <w:szCs w:val="22"/>
          <w:lang w:eastAsia="bg-BG"/>
        </w:rPr>
      </w:pPr>
      <w:hyperlink w:anchor="_Toc164268369" w:history="1">
        <w:r w:rsidR="00F06B46" w:rsidRPr="00A12D84">
          <w:rPr>
            <w:rStyle w:val="Hyperlink"/>
            <w:rFonts w:ascii="Arial" w:hAnsi="Arial" w:cs="Arial"/>
            <w:noProof/>
          </w:rPr>
          <w:t>1.3.</w:t>
        </w:r>
        <w:r w:rsidR="00F06B46">
          <w:rPr>
            <w:rFonts w:asciiTheme="minorHAnsi" w:eastAsiaTheme="minorEastAsia" w:hAnsiTheme="minorHAnsi" w:cstheme="minorBidi"/>
            <w:noProof/>
            <w:szCs w:val="22"/>
            <w:lang w:eastAsia="bg-BG"/>
          </w:rPr>
          <w:tab/>
        </w:r>
        <w:r w:rsidR="00F06B46" w:rsidRPr="00A12D84">
          <w:rPr>
            <w:rStyle w:val="Hyperlink"/>
            <w:rFonts w:ascii="Arial" w:hAnsi="Arial" w:cs="Arial"/>
            <w:noProof/>
          </w:rPr>
          <w:t>Финансови приходи и финансови разходи</w:t>
        </w:r>
        <w:r w:rsidR="00F06B46">
          <w:rPr>
            <w:noProof/>
            <w:webHidden/>
          </w:rPr>
          <w:tab/>
        </w:r>
        <w:r w:rsidR="00F06B46">
          <w:rPr>
            <w:noProof/>
            <w:webHidden/>
          </w:rPr>
          <w:fldChar w:fldCharType="begin"/>
        </w:r>
        <w:r w:rsidR="00F06B46">
          <w:rPr>
            <w:noProof/>
            <w:webHidden/>
          </w:rPr>
          <w:instrText xml:space="preserve"> PAGEREF _Toc164268369 \h </w:instrText>
        </w:r>
        <w:r w:rsidR="00F06B46">
          <w:rPr>
            <w:noProof/>
            <w:webHidden/>
          </w:rPr>
        </w:r>
        <w:r w:rsidR="00F06B46">
          <w:rPr>
            <w:noProof/>
            <w:webHidden/>
          </w:rPr>
          <w:fldChar w:fldCharType="separate"/>
        </w:r>
        <w:r w:rsidR="0067669F">
          <w:rPr>
            <w:noProof/>
            <w:webHidden/>
          </w:rPr>
          <w:t>28</w:t>
        </w:r>
        <w:r w:rsidR="00F06B46">
          <w:rPr>
            <w:noProof/>
            <w:webHidden/>
          </w:rPr>
          <w:fldChar w:fldCharType="end"/>
        </w:r>
      </w:hyperlink>
    </w:p>
    <w:p w14:paraId="73722A6D"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70" w:history="1">
        <w:r w:rsidR="00F06B46" w:rsidRPr="00A12D84">
          <w:rPr>
            <w:rStyle w:val="Hyperlink"/>
            <w:rFonts w:ascii="Arial" w:hAnsi="Arial" w:cs="Arial"/>
            <w:noProof/>
          </w:rPr>
          <w:t>1.6. Нетна загуба на акция</w:t>
        </w:r>
        <w:r w:rsidR="00F06B46">
          <w:rPr>
            <w:noProof/>
            <w:webHidden/>
          </w:rPr>
          <w:tab/>
        </w:r>
        <w:r w:rsidR="00F06B46">
          <w:rPr>
            <w:noProof/>
            <w:webHidden/>
          </w:rPr>
          <w:fldChar w:fldCharType="begin"/>
        </w:r>
        <w:r w:rsidR="00F06B46">
          <w:rPr>
            <w:noProof/>
            <w:webHidden/>
          </w:rPr>
          <w:instrText xml:space="preserve"> PAGEREF _Toc164268370 \h </w:instrText>
        </w:r>
        <w:r w:rsidR="00F06B46">
          <w:rPr>
            <w:noProof/>
            <w:webHidden/>
          </w:rPr>
        </w:r>
        <w:r w:rsidR="00F06B46">
          <w:rPr>
            <w:noProof/>
            <w:webHidden/>
          </w:rPr>
          <w:fldChar w:fldCharType="separate"/>
        </w:r>
        <w:r w:rsidR="0067669F">
          <w:rPr>
            <w:noProof/>
            <w:webHidden/>
          </w:rPr>
          <w:t>28</w:t>
        </w:r>
        <w:r w:rsidR="00F06B46">
          <w:rPr>
            <w:noProof/>
            <w:webHidden/>
          </w:rPr>
          <w:fldChar w:fldCharType="end"/>
        </w:r>
      </w:hyperlink>
    </w:p>
    <w:p w14:paraId="7DD27E52"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71" w:history="1">
        <w:r w:rsidR="00F06B46" w:rsidRPr="00A12D84">
          <w:rPr>
            <w:rStyle w:val="Hyperlink"/>
            <w:rFonts w:ascii="Arial" w:hAnsi="Arial" w:cs="Arial"/>
            <w:i/>
            <w:noProof/>
          </w:rPr>
          <w:t>2. Индивидуален отчет за финансовото състояние</w:t>
        </w:r>
        <w:r w:rsidR="00F06B46">
          <w:rPr>
            <w:noProof/>
            <w:webHidden/>
          </w:rPr>
          <w:tab/>
        </w:r>
        <w:r w:rsidR="00F06B46">
          <w:rPr>
            <w:noProof/>
            <w:webHidden/>
          </w:rPr>
          <w:fldChar w:fldCharType="begin"/>
        </w:r>
        <w:r w:rsidR="00F06B46">
          <w:rPr>
            <w:noProof/>
            <w:webHidden/>
          </w:rPr>
          <w:instrText xml:space="preserve"> PAGEREF _Toc164268371 \h </w:instrText>
        </w:r>
        <w:r w:rsidR="00F06B46">
          <w:rPr>
            <w:noProof/>
            <w:webHidden/>
          </w:rPr>
        </w:r>
        <w:r w:rsidR="00F06B46">
          <w:rPr>
            <w:noProof/>
            <w:webHidden/>
          </w:rPr>
          <w:fldChar w:fldCharType="separate"/>
        </w:r>
        <w:r w:rsidR="0067669F">
          <w:rPr>
            <w:noProof/>
            <w:webHidden/>
          </w:rPr>
          <w:t>29</w:t>
        </w:r>
        <w:r w:rsidR="00F06B46">
          <w:rPr>
            <w:noProof/>
            <w:webHidden/>
          </w:rPr>
          <w:fldChar w:fldCharType="end"/>
        </w:r>
      </w:hyperlink>
    </w:p>
    <w:p w14:paraId="0F451132"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72" w:history="1">
        <w:r w:rsidR="00F06B46" w:rsidRPr="00A12D84">
          <w:rPr>
            <w:rStyle w:val="Hyperlink"/>
            <w:rFonts w:ascii="Arial" w:hAnsi="Arial" w:cs="Arial"/>
            <w:noProof/>
          </w:rPr>
          <w:t>Нетекущи активи</w:t>
        </w:r>
        <w:r w:rsidR="00F06B46">
          <w:rPr>
            <w:noProof/>
            <w:webHidden/>
          </w:rPr>
          <w:tab/>
        </w:r>
        <w:r w:rsidR="00F06B46">
          <w:rPr>
            <w:noProof/>
            <w:webHidden/>
          </w:rPr>
          <w:fldChar w:fldCharType="begin"/>
        </w:r>
        <w:r w:rsidR="00F06B46">
          <w:rPr>
            <w:noProof/>
            <w:webHidden/>
          </w:rPr>
          <w:instrText xml:space="preserve"> PAGEREF _Toc164268372 \h </w:instrText>
        </w:r>
        <w:r w:rsidR="00F06B46">
          <w:rPr>
            <w:noProof/>
            <w:webHidden/>
          </w:rPr>
        </w:r>
        <w:r w:rsidR="00F06B46">
          <w:rPr>
            <w:noProof/>
            <w:webHidden/>
          </w:rPr>
          <w:fldChar w:fldCharType="separate"/>
        </w:r>
        <w:r w:rsidR="0067669F">
          <w:rPr>
            <w:noProof/>
            <w:webHidden/>
          </w:rPr>
          <w:t>29</w:t>
        </w:r>
        <w:r w:rsidR="00F06B46">
          <w:rPr>
            <w:noProof/>
            <w:webHidden/>
          </w:rPr>
          <w:fldChar w:fldCharType="end"/>
        </w:r>
      </w:hyperlink>
    </w:p>
    <w:p w14:paraId="67B152F3" w14:textId="77777777" w:rsidR="00F06B46" w:rsidRDefault="00000000">
      <w:pPr>
        <w:pStyle w:val="TOC4"/>
        <w:tabs>
          <w:tab w:val="right" w:leader="dot" w:pos="9457"/>
        </w:tabs>
        <w:rPr>
          <w:rFonts w:asciiTheme="minorHAnsi" w:eastAsiaTheme="minorEastAsia" w:hAnsiTheme="minorHAnsi" w:cstheme="minorBidi"/>
          <w:noProof/>
        </w:rPr>
      </w:pPr>
      <w:hyperlink w:anchor="_Toc164268373" w:history="1">
        <w:r w:rsidR="00F06B46" w:rsidRPr="00A12D84">
          <w:rPr>
            <w:rStyle w:val="Hyperlink"/>
            <w:rFonts w:ascii="Arial" w:hAnsi="Arial" w:cs="Arial"/>
            <w:noProof/>
          </w:rPr>
          <w:t>2.1. Инвестиции в дъщерни предприятия</w:t>
        </w:r>
        <w:r w:rsidR="00F06B46">
          <w:rPr>
            <w:noProof/>
            <w:webHidden/>
          </w:rPr>
          <w:tab/>
        </w:r>
        <w:r w:rsidR="00F06B46">
          <w:rPr>
            <w:noProof/>
            <w:webHidden/>
          </w:rPr>
          <w:fldChar w:fldCharType="begin"/>
        </w:r>
        <w:r w:rsidR="00F06B46">
          <w:rPr>
            <w:noProof/>
            <w:webHidden/>
          </w:rPr>
          <w:instrText xml:space="preserve"> PAGEREF _Toc164268373 \h </w:instrText>
        </w:r>
        <w:r w:rsidR="00F06B46">
          <w:rPr>
            <w:noProof/>
            <w:webHidden/>
          </w:rPr>
        </w:r>
        <w:r w:rsidR="00F06B46">
          <w:rPr>
            <w:noProof/>
            <w:webHidden/>
          </w:rPr>
          <w:fldChar w:fldCharType="separate"/>
        </w:r>
        <w:r w:rsidR="0067669F">
          <w:rPr>
            <w:noProof/>
            <w:webHidden/>
          </w:rPr>
          <w:t>29</w:t>
        </w:r>
        <w:r w:rsidR="00F06B46">
          <w:rPr>
            <w:noProof/>
            <w:webHidden/>
          </w:rPr>
          <w:fldChar w:fldCharType="end"/>
        </w:r>
      </w:hyperlink>
    </w:p>
    <w:p w14:paraId="18C81F6D" w14:textId="77777777" w:rsidR="00F06B46" w:rsidRDefault="00000000">
      <w:pPr>
        <w:pStyle w:val="TOC4"/>
        <w:tabs>
          <w:tab w:val="right" w:leader="dot" w:pos="9457"/>
        </w:tabs>
        <w:rPr>
          <w:rFonts w:asciiTheme="minorHAnsi" w:eastAsiaTheme="minorEastAsia" w:hAnsiTheme="minorHAnsi" w:cstheme="minorBidi"/>
          <w:noProof/>
        </w:rPr>
      </w:pPr>
      <w:hyperlink w:anchor="_Toc164268374" w:history="1">
        <w:r w:rsidR="00F06B46" w:rsidRPr="00A12D84">
          <w:rPr>
            <w:rStyle w:val="Hyperlink"/>
            <w:rFonts w:ascii="Arial" w:hAnsi="Arial" w:cs="Arial"/>
            <w:noProof/>
          </w:rPr>
          <w:t>2.2. Активи по отсрочени данъци</w:t>
        </w:r>
        <w:r w:rsidR="00F06B46">
          <w:rPr>
            <w:noProof/>
            <w:webHidden/>
          </w:rPr>
          <w:tab/>
        </w:r>
        <w:r w:rsidR="00F06B46">
          <w:rPr>
            <w:noProof/>
            <w:webHidden/>
          </w:rPr>
          <w:fldChar w:fldCharType="begin"/>
        </w:r>
        <w:r w:rsidR="00F06B46">
          <w:rPr>
            <w:noProof/>
            <w:webHidden/>
          </w:rPr>
          <w:instrText xml:space="preserve"> PAGEREF _Toc164268374 \h </w:instrText>
        </w:r>
        <w:r w:rsidR="00F06B46">
          <w:rPr>
            <w:noProof/>
            <w:webHidden/>
          </w:rPr>
        </w:r>
        <w:r w:rsidR="00F06B46">
          <w:rPr>
            <w:noProof/>
            <w:webHidden/>
          </w:rPr>
          <w:fldChar w:fldCharType="separate"/>
        </w:r>
        <w:r w:rsidR="0067669F">
          <w:rPr>
            <w:noProof/>
            <w:webHidden/>
          </w:rPr>
          <w:t>29</w:t>
        </w:r>
        <w:r w:rsidR="00F06B46">
          <w:rPr>
            <w:noProof/>
            <w:webHidden/>
          </w:rPr>
          <w:fldChar w:fldCharType="end"/>
        </w:r>
      </w:hyperlink>
    </w:p>
    <w:p w14:paraId="506A68B2"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75" w:history="1">
        <w:r w:rsidR="00F06B46" w:rsidRPr="00A12D84">
          <w:rPr>
            <w:rStyle w:val="Hyperlink"/>
            <w:rFonts w:ascii="Arial" w:hAnsi="Arial" w:cs="Arial"/>
            <w:noProof/>
          </w:rPr>
          <w:t>Текущи активи</w:t>
        </w:r>
        <w:r w:rsidR="00F06B46">
          <w:rPr>
            <w:noProof/>
            <w:webHidden/>
          </w:rPr>
          <w:tab/>
        </w:r>
        <w:r w:rsidR="00F06B46">
          <w:rPr>
            <w:noProof/>
            <w:webHidden/>
          </w:rPr>
          <w:fldChar w:fldCharType="begin"/>
        </w:r>
        <w:r w:rsidR="00F06B46">
          <w:rPr>
            <w:noProof/>
            <w:webHidden/>
          </w:rPr>
          <w:instrText xml:space="preserve"> PAGEREF _Toc164268375 \h </w:instrText>
        </w:r>
        <w:r w:rsidR="00F06B46">
          <w:rPr>
            <w:noProof/>
            <w:webHidden/>
          </w:rPr>
        </w:r>
        <w:r w:rsidR="00F06B46">
          <w:rPr>
            <w:noProof/>
            <w:webHidden/>
          </w:rPr>
          <w:fldChar w:fldCharType="separate"/>
        </w:r>
        <w:r w:rsidR="0067669F">
          <w:rPr>
            <w:noProof/>
            <w:webHidden/>
          </w:rPr>
          <w:t>30</w:t>
        </w:r>
        <w:r w:rsidR="00F06B46">
          <w:rPr>
            <w:noProof/>
            <w:webHidden/>
          </w:rPr>
          <w:fldChar w:fldCharType="end"/>
        </w:r>
      </w:hyperlink>
    </w:p>
    <w:p w14:paraId="1D3F552D" w14:textId="77777777" w:rsidR="00F06B46" w:rsidRDefault="00000000">
      <w:pPr>
        <w:pStyle w:val="TOC4"/>
        <w:tabs>
          <w:tab w:val="right" w:leader="dot" w:pos="9457"/>
        </w:tabs>
        <w:rPr>
          <w:rFonts w:asciiTheme="minorHAnsi" w:eastAsiaTheme="minorEastAsia" w:hAnsiTheme="minorHAnsi" w:cstheme="minorBidi"/>
          <w:noProof/>
        </w:rPr>
      </w:pPr>
      <w:hyperlink w:anchor="_Toc164268376" w:history="1">
        <w:r w:rsidR="00F06B46" w:rsidRPr="00A12D84">
          <w:rPr>
            <w:rStyle w:val="Hyperlink"/>
            <w:rFonts w:ascii="Arial" w:hAnsi="Arial" w:cs="Arial"/>
            <w:noProof/>
          </w:rPr>
          <w:t>2.3 Други текущи финансови активи</w:t>
        </w:r>
        <w:r w:rsidR="00F06B46">
          <w:rPr>
            <w:noProof/>
            <w:webHidden/>
          </w:rPr>
          <w:tab/>
        </w:r>
        <w:r w:rsidR="00F06B46">
          <w:rPr>
            <w:noProof/>
            <w:webHidden/>
          </w:rPr>
          <w:fldChar w:fldCharType="begin"/>
        </w:r>
        <w:r w:rsidR="00F06B46">
          <w:rPr>
            <w:noProof/>
            <w:webHidden/>
          </w:rPr>
          <w:instrText xml:space="preserve"> PAGEREF _Toc164268376 \h </w:instrText>
        </w:r>
        <w:r w:rsidR="00F06B46">
          <w:rPr>
            <w:noProof/>
            <w:webHidden/>
          </w:rPr>
        </w:r>
        <w:r w:rsidR="00F06B46">
          <w:rPr>
            <w:noProof/>
            <w:webHidden/>
          </w:rPr>
          <w:fldChar w:fldCharType="separate"/>
        </w:r>
        <w:r w:rsidR="0067669F">
          <w:rPr>
            <w:noProof/>
            <w:webHidden/>
          </w:rPr>
          <w:t>30</w:t>
        </w:r>
        <w:r w:rsidR="00F06B46">
          <w:rPr>
            <w:noProof/>
            <w:webHidden/>
          </w:rPr>
          <w:fldChar w:fldCharType="end"/>
        </w:r>
      </w:hyperlink>
    </w:p>
    <w:p w14:paraId="21B35107" w14:textId="77777777" w:rsidR="00F06B46" w:rsidRDefault="00000000">
      <w:pPr>
        <w:pStyle w:val="TOC4"/>
        <w:tabs>
          <w:tab w:val="right" w:leader="dot" w:pos="9457"/>
        </w:tabs>
        <w:rPr>
          <w:rFonts w:asciiTheme="minorHAnsi" w:eastAsiaTheme="minorEastAsia" w:hAnsiTheme="minorHAnsi" w:cstheme="minorBidi"/>
          <w:noProof/>
        </w:rPr>
      </w:pPr>
      <w:hyperlink w:anchor="_Toc164268377" w:history="1">
        <w:r w:rsidR="00F06B46" w:rsidRPr="00A12D84">
          <w:rPr>
            <w:rStyle w:val="Hyperlink"/>
            <w:rFonts w:ascii="Arial" w:hAnsi="Arial" w:cs="Arial"/>
            <w:noProof/>
          </w:rPr>
          <w:t>2.4 Парични средства</w:t>
        </w:r>
        <w:r w:rsidR="00F06B46">
          <w:rPr>
            <w:noProof/>
            <w:webHidden/>
          </w:rPr>
          <w:tab/>
        </w:r>
        <w:r w:rsidR="00F06B46">
          <w:rPr>
            <w:noProof/>
            <w:webHidden/>
          </w:rPr>
          <w:fldChar w:fldCharType="begin"/>
        </w:r>
        <w:r w:rsidR="00F06B46">
          <w:rPr>
            <w:noProof/>
            <w:webHidden/>
          </w:rPr>
          <w:instrText xml:space="preserve"> PAGEREF _Toc164268377 \h </w:instrText>
        </w:r>
        <w:r w:rsidR="00F06B46">
          <w:rPr>
            <w:noProof/>
            <w:webHidden/>
          </w:rPr>
        </w:r>
        <w:r w:rsidR="00F06B46">
          <w:rPr>
            <w:noProof/>
            <w:webHidden/>
          </w:rPr>
          <w:fldChar w:fldCharType="separate"/>
        </w:r>
        <w:r w:rsidR="0067669F">
          <w:rPr>
            <w:noProof/>
            <w:webHidden/>
          </w:rPr>
          <w:t>31</w:t>
        </w:r>
        <w:r w:rsidR="00F06B46">
          <w:rPr>
            <w:noProof/>
            <w:webHidden/>
          </w:rPr>
          <w:fldChar w:fldCharType="end"/>
        </w:r>
      </w:hyperlink>
    </w:p>
    <w:p w14:paraId="77383D6D" w14:textId="77777777" w:rsidR="00F06B46" w:rsidRDefault="00000000">
      <w:pPr>
        <w:pStyle w:val="TOC4"/>
        <w:tabs>
          <w:tab w:val="right" w:leader="dot" w:pos="9457"/>
        </w:tabs>
        <w:rPr>
          <w:rFonts w:asciiTheme="minorHAnsi" w:eastAsiaTheme="minorEastAsia" w:hAnsiTheme="minorHAnsi" w:cstheme="minorBidi"/>
          <w:noProof/>
        </w:rPr>
      </w:pPr>
      <w:hyperlink w:anchor="_Toc164268378" w:history="1">
        <w:r w:rsidR="00F06B46" w:rsidRPr="00A12D84">
          <w:rPr>
            <w:rStyle w:val="Hyperlink"/>
            <w:rFonts w:ascii="Arial" w:hAnsi="Arial" w:cs="Arial"/>
            <w:noProof/>
          </w:rPr>
          <w:t>2.5. Собствен капитал</w:t>
        </w:r>
        <w:r w:rsidR="00F06B46">
          <w:rPr>
            <w:noProof/>
            <w:webHidden/>
          </w:rPr>
          <w:tab/>
        </w:r>
        <w:r w:rsidR="00F06B46">
          <w:rPr>
            <w:noProof/>
            <w:webHidden/>
          </w:rPr>
          <w:fldChar w:fldCharType="begin"/>
        </w:r>
        <w:r w:rsidR="00F06B46">
          <w:rPr>
            <w:noProof/>
            <w:webHidden/>
          </w:rPr>
          <w:instrText xml:space="preserve"> PAGEREF _Toc164268378 \h </w:instrText>
        </w:r>
        <w:r w:rsidR="00F06B46">
          <w:rPr>
            <w:noProof/>
            <w:webHidden/>
          </w:rPr>
        </w:r>
        <w:r w:rsidR="00F06B46">
          <w:rPr>
            <w:noProof/>
            <w:webHidden/>
          </w:rPr>
          <w:fldChar w:fldCharType="separate"/>
        </w:r>
        <w:r w:rsidR="0067669F">
          <w:rPr>
            <w:noProof/>
            <w:webHidden/>
          </w:rPr>
          <w:t>31</w:t>
        </w:r>
        <w:r w:rsidR="00F06B46">
          <w:rPr>
            <w:noProof/>
            <w:webHidden/>
          </w:rPr>
          <w:fldChar w:fldCharType="end"/>
        </w:r>
      </w:hyperlink>
    </w:p>
    <w:p w14:paraId="43996E2A" w14:textId="77777777" w:rsidR="00F06B46" w:rsidRDefault="00000000">
      <w:pPr>
        <w:pStyle w:val="TOC4"/>
        <w:tabs>
          <w:tab w:val="right" w:leader="dot" w:pos="9457"/>
        </w:tabs>
        <w:rPr>
          <w:rFonts w:asciiTheme="minorHAnsi" w:eastAsiaTheme="minorEastAsia" w:hAnsiTheme="minorHAnsi" w:cstheme="minorBidi"/>
          <w:noProof/>
        </w:rPr>
      </w:pPr>
      <w:hyperlink w:anchor="_Toc164268379" w:history="1">
        <w:r w:rsidR="00F06B46" w:rsidRPr="00A12D84">
          <w:rPr>
            <w:rStyle w:val="Hyperlink"/>
            <w:rFonts w:ascii="Arial" w:hAnsi="Arial" w:cs="Arial"/>
            <w:noProof/>
          </w:rPr>
          <w:t>2.5.2.Премии от емисии</w:t>
        </w:r>
        <w:r w:rsidR="00F06B46">
          <w:rPr>
            <w:noProof/>
            <w:webHidden/>
          </w:rPr>
          <w:tab/>
        </w:r>
        <w:r w:rsidR="00F06B46">
          <w:rPr>
            <w:noProof/>
            <w:webHidden/>
          </w:rPr>
          <w:fldChar w:fldCharType="begin"/>
        </w:r>
        <w:r w:rsidR="00F06B46">
          <w:rPr>
            <w:noProof/>
            <w:webHidden/>
          </w:rPr>
          <w:instrText xml:space="preserve"> PAGEREF _Toc164268379 \h </w:instrText>
        </w:r>
        <w:r w:rsidR="00F06B46">
          <w:rPr>
            <w:noProof/>
            <w:webHidden/>
          </w:rPr>
        </w:r>
        <w:r w:rsidR="00F06B46">
          <w:rPr>
            <w:noProof/>
            <w:webHidden/>
          </w:rPr>
          <w:fldChar w:fldCharType="separate"/>
        </w:r>
        <w:r w:rsidR="0067669F">
          <w:rPr>
            <w:noProof/>
            <w:webHidden/>
          </w:rPr>
          <w:t>31</w:t>
        </w:r>
        <w:r w:rsidR="00F06B46">
          <w:rPr>
            <w:noProof/>
            <w:webHidden/>
          </w:rPr>
          <w:fldChar w:fldCharType="end"/>
        </w:r>
      </w:hyperlink>
    </w:p>
    <w:p w14:paraId="70242CED" w14:textId="77777777" w:rsidR="00F06B46" w:rsidRDefault="00000000">
      <w:pPr>
        <w:pStyle w:val="TOC4"/>
        <w:tabs>
          <w:tab w:val="right" w:leader="dot" w:pos="9457"/>
        </w:tabs>
        <w:rPr>
          <w:rFonts w:asciiTheme="minorHAnsi" w:eastAsiaTheme="minorEastAsia" w:hAnsiTheme="minorHAnsi" w:cstheme="minorBidi"/>
          <w:noProof/>
        </w:rPr>
      </w:pPr>
      <w:hyperlink w:anchor="_Toc164268380" w:history="1">
        <w:r w:rsidR="00F06B46" w:rsidRPr="00A12D84">
          <w:rPr>
            <w:rStyle w:val="Hyperlink"/>
            <w:rFonts w:ascii="Arial" w:hAnsi="Arial" w:cs="Arial"/>
            <w:noProof/>
          </w:rPr>
          <w:t>На 29.07.2008г. е вписано увеличение на капитала на дружеството, което става с публично предлагане на нови акции. Формирана е премия от емисии в размер на 10 072 хил.лв.</w:t>
        </w:r>
        <w:r w:rsidR="00F06B46">
          <w:rPr>
            <w:noProof/>
            <w:webHidden/>
          </w:rPr>
          <w:tab/>
        </w:r>
        <w:r w:rsidR="00F06B46">
          <w:rPr>
            <w:noProof/>
            <w:webHidden/>
          </w:rPr>
          <w:fldChar w:fldCharType="begin"/>
        </w:r>
        <w:r w:rsidR="00F06B46">
          <w:rPr>
            <w:noProof/>
            <w:webHidden/>
          </w:rPr>
          <w:instrText xml:space="preserve"> PAGEREF _Toc164268380 \h </w:instrText>
        </w:r>
        <w:r w:rsidR="00F06B46">
          <w:rPr>
            <w:noProof/>
            <w:webHidden/>
          </w:rPr>
        </w:r>
        <w:r w:rsidR="00F06B46">
          <w:rPr>
            <w:noProof/>
            <w:webHidden/>
          </w:rPr>
          <w:fldChar w:fldCharType="separate"/>
        </w:r>
        <w:r w:rsidR="0067669F">
          <w:rPr>
            <w:noProof/>
            <w:webHidden/>
          </w:rPr>
          <w:t>31</w:t>
        </w:r>
        <w:r w:rsidR="00F06B46">
          <w:rPr>
            <w:noProof/>
            <w:webHidden/>
          </w:rPr>
          <w:fldChar w:fldCharType="end"/>
        </w:r>
      </w:hyperlink>
    </w:p>
    <w:p w14:paraId="36DC80FA" w14:textId="77777777" w:rsidR="00F06B46" w:rsidRDefault="00000000">
      <w:pPr>
        <w:pStyle w:val="TOC4"/>
        <w:tabs>
          <w:tab w:val="right" w:leader="dot" w:pos="9457"/>
        </w:tabs>
        <w:rPr>
          <w:rFonts w:asciiTheme="minorHAnsi" w:eastAsiaTheme="minorEastAsia" w:hAnsiTheme="minorHAnsi" w:cstheme="minorBidi"/>
          <w:noProof/>
        </w:rPr>
      </w:pPr>
      <w:hyperlink w:anchor="_Toc164268381" w:history="1">
        <w:r w:rsidR="00F06B46" w:rsidRPr="00A12D84">
          <w:rPr>
            <w:rStyle w:val="Hyperlink"/>
            <w:rFonts w:ascii="Arial" w:hAnsi="Arial" w:cs="Arial"/>
            <w:noProof/>
          </w:rPr>
          <w:t>2.5.3. Финансов резултат</w:t>
        </w:r>
        <w:r w:rsidR="00F06B46">
          <w:rPr>
            <w:noProof/>
            <w:webHidden/>
          </w:rPr>
          <w:tab/>
        </w:r>
        <w:r w:rsidR="00F06B46">
          <w:rPr>
            <w:noProof/>
            <w:webHidden/>
          </w:rPr>
          <w:fldChar w:fldCharType="begin"/>
        </w:r>
        <w:r w:rsidR="00F06B46">
          <w:rPr>
            <w:noProof/>
            <w:webHidden/>
          </w:rPr>
          <w:instrText xml:space="preserve"> PAGEREF _Toc164268381 \h </w:instrText>
        </w:r>
        <w:r w:rsidR="00F06B46">
          <w:rPr>
            <w:noProof/>
            <w:webHidden/>
          </w:rPr>
        </w:r>
        <w:r w:rsidR="00F06B46">
          <w:rPr>
            <w:noProof/>
            <w:webHidden/>
          </w:rPr>
          <w:fldChar w:fldCharType="separate"/>
        </w:r>
        <w:r w:rsidR="0067669F">
          <w:rPr>
            <w:noProof/>
            <w:webHidden/>
          </w:rPr>
          <w:t>31</w:t>
        </w:r>
        <w:r w:rsidR="00F06B46">
          <w:rPr>
            <w:noProof/>
            <w:webHidden/>
          </w:rPr>
          <w:fldChar w:fldCharType="end"/>
        </w:r>
      </w:hyperlink>
    </w:p>
    <w:p w14:paraId="444CBA7B" w14:textId="77777777" w:rsidR="00F06B46" w:rsidRDefault="00000000">
      <w:pPr>
        <w:pStyle w:val="TOC4"/>
        <w:tabs>
          <w:tab w:val="right" w:leader="dot" w:pos="9457"/>
        </w:tabs>
        <w:rPr>
          <w:rFonts w:asciiTheme="minorHAnsi" w:eastAsiaTheme="minorEastAsia" w:hAnsiTheme="minorHAnsi" w:cstheme="minorBidi"/>
          <w:noProof/>
        </w:rPr>
      </w:pPr>
      <w:hyperlink w:anchor="_Toc164268382" w:history="1">
        <w:r w:rsidR="00F06B46" w:rsidRPr="00A12D84">
          <w:rPr>
            <w:rStyle w:val="Hyperlink"/>
            <w:rFonts w:ascii="Arial" w:hAnsi="Arial" w:cs="Arial"/>
            <w:noProof/>
          </w:rPr>
          <w:t>2.6. Текущи търговски и други задължения</w:t>
        </w:r>
        <w:r w:rsidR="00F06B46">
          <w:rPr>
            <w:noProof/>
            <w:webHidden/>
          </w:rPr>
          <w:tab/>
        </w:r>
        <w:r w:rsidR="00F06B46">
          <w:rPr>
            <w:noProof/>
            <w:webHidden/>
          </w:rPr>
          <w:fldChar w:fldCharType="begin"/>
        </w:r>
        <w:r w:rsidR="00F06B46">
          <w:rPr>
            <w:noProof/>
            <w:webHidden/>
          </w:rPr>
          <w:instrText xml:space="preserve"> PAGEREF _Toc164268382 \h </w:instrText>
        </w:r>
        <w:r w:rsidR="00F06B46">
          <w:rPr>
            <w:noProof/>
            <w:webHidden/>
          </w:rPr>
        </w:r>
        <w:r w:rsidR="00F06B46">
          <w:rPr>
            <w:noProof/>
            <w:webHidden/>
          </w:rPr>
          <w:fldChar w:fldCharType="separate"/>
        </w:r>
        <w:r w:rsidR="0067669F">
          <w:rPr>
            <w:noProof/>
            <w:webHidden/>
          </w:rPr>
          <w:t>31</w:t>
        </w:r>
        <w:r w:rsidR="00F06B46">
          <w:rPr>
            <w:noProof/>
            <w:webHidden/>
          </w:rPr>
          <w:fldChar w:fldCharType="end"/>
        </w:r>
      </w:hyperlink>
    </w:p>
    <w:p w14:paraId="4E9ADB59" w14:textId="77777777" w:rsidR="00F06B46" w:rsidRDefault="00000000">
      <w:pPr>
        <w:pStyle w:val="TOC4"/>
        <w:tabs>
          <w:tab w:val="right" w:leader="dot" w:pos="9457"/>
        </w:tabs>
        <w:rPr>
          <w:rFonts w:asciiTheme="minorHAnsi" w:eastAsiaTheme="minorEastAsia" w:hAnsiTheme="minorHAnsi" w:cstheme="minorBidi"/>
          <w:noProof/>
        </w:rPr>
      </w:pPr>
      <w:hyperlink w:anchor="_Toc164268383" w:history="1">
        <w:r w:rsidR="00F06B46" w:rsidRPr="00A12D84">
          <w:rPr>
            <w:rStyle w:val="Hyperlink"/>
            <w:rFonts w:ascii="Arial" w:hAnsi="Arial" w:cs="Arial"/>
            <w:noProof/>
          </w:rPr>
          <w:t>2.7. Други текущи финансови пасиви</w:t>
        </w:r>
        <w:r w:rsidR="00F06B46">
          <w:rPr>
            <w:noProof/>
            <w:webHidden/>
          </w:rPr>
          <w:tab/>
        </w:r>
        <w:r w:rsidR="00F06B46">
          <w:rPr>
            <w:noProof/>
            <w:webHidden/>
          </w:rPr>
          <w:fldChar w:fldCharType="begin"/>
        </w:r>
        <w:r w:rsidR="00F06B46">
          <w:rPr>
            <w:noProof/>
            <w:webHidden/>
          </w:rPr>
          <w:instrText xml:space="preserve"> PAGEREF _Toc164268383 \h </w:instrText>
        </w:r>
        <w:r w:rsidR="00F06B46">
          <w:rPr>
            <w:noProof/>
            <w:webHidden/>
          </w:rPr>
        </w:r>
        <w:r w:rsidR="00F06B46">
          <w:rPr>
            <w:noProof/>
            <w:webHidden/>
          </w:rPr>
          <w:fldChar w:fldCharType="separate"/>
        </w:r>
        <w:r w:rsidR="0067669F">
          <w:rPr>
            <w:noProof/>
            <w:webHidden/>
          </w:rPr>
          <w:t>32</w:t>
        </w:r>
        <w:r w:rsidR="00F06B46">
          <w:rPr>
            <w:noProof/>
            <w:webHidden/>
          </w:rPr>
          <w:fldChar w:fldCharType="end"/>
        </w:r>
      </w:hyperlink>
    </w:p>
    <w:p w14:paraId="25DDB6EE" w14:textId="77777777" w:rsidR="00F06B46" w:rsidRDefault="00000000">
      <w:pPr>
        <w:pStyle w:val="TOC1"/>
        <w:rPr>
          <w:rFonts w:asciiTheme="minorHAnsi" w:eastAsiaTheme="minorEastAsia" w:hAnsiTheme="minorHAnsi" w:cstheme="minorBidi"/>
          <w:bCs w:val="0"/>
          <w:snapToGrid/>
          <w:lang w:eastAsia="bg-BG"/>
        </w:rPr>
      </w:pPr>
      <w:hyperlink w:anchor="_Toc164268384" w:history="1">
        <w:r w:rsidR="00F06B46" w:rsidRPr="00A12D84">
          <w:rPr>
            <w:rStyle w:val="Hyperlink"/>
            <w:rFonts w:ascii="Arial" w:hAnsi="Arial" w:cs="Arial"/>
          </w:rPr>
          <w:t>IV. ДРУГИ ОПОВЕСТЯВАНИЯ</w:t>
        </w:r>
        <w:r w:rsidR="00F06B46">
          <w:rPr>
            <w:webHidden/>
          </w:rPr>
          <w:tab/>
        </w:r>
        <w:r w:rsidR="00F06B46">
          <w:rPr>
            <w:webHidden/>
          </w:rPr>
          <w:fldChar w:fldCharType="begin"/>
        </w:r>
        <w:r w:rsidR="00F06B46">
          <w:rPr>
            <w:webHidden/>
          </w:rPr>
          <w:instrText xml:space="preserve"> PAGEREF _Toc164268384 \h </w:instrText>
        </w:r>
        <w:r w:rsidR="00F06B46">
          <w:rPr>
            <w:webHidden/>
          </w:rPr>
        </w:r>
        <w:r w:rsidR="00F06B46">
          <w:rPr>
            <w:webHidden/>
          </w:rPr>
          <w:fldChar w:fldCharType="separate"/>
        </w:r>
        <w:r w:rsidR="0067669F">
          <w:rPr>
            <w:webHidden/>
          </w:rPr>
          <w:t>33</w:t>
        </w:r>
        <w:r w:rsidR="00F06B46">
          <w:rPr>
            <w:webHidden/>
          </w:rPr>
          <w:fldChar w:fldCharType="end"/>
        </w:r>
      </w:hyperlink>
    </w:p>
    <w:p w14:paraId="45BF9AE2"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85" w:history="1">
        <w:r w:rsidR="00F06B46" w:rsidRPr="00A12D84">
          <w:rPr>
            <w:rStyle w:val="Hyperlink"/>
            <w:rFonts w:ascii="Arial" w:hAnsi="Arial" w:cs="Arial"/>
            <w:i/>
            <w:noProof/>
          </w:rPr>
          <w:t>1. Свързани лица и сделки със свързани лица</w:t>
        </w:r>
        <w:r w:rsidR="00F06B46">
          <w:rPr>
            <w:noProof/>
            <w:webHidden/>
          </w:rPr>
          <w:tab/>
        </w:r>
        <w:r w:rsidR="00F06B46">
          <w:rPr>
            <w:noProof/>
            <w:webHidden/>
          </w:rPr>
          <w:fldChar w:fldCharType="begin"/>
        </w:r>
        <w:r w:rsidR="00F06B46">
          <w:rPr>
            <w:noProof/>
            <w:webHidden/>
          </w:rPr>
          <w:instrText xml:space="preserve"> PAGEREF _Toc164268385 \h </w:instrText>
        </w:r>
        <w:r w:rsidR="00F06B46">
          <w:rPr>
            <w:noProof/>
            <w:webHidden/>
          </w:rPr>
        </w:r>
        <w:r w:rsidR="00F06B46">
          <w:rPr>
            <w:noProof/>
            <w:webHidden/>
          </w:rPr>
          <w:fldChar w:fldCharType="separate"/>
        </w:r>
        <w:r w:rsidR="0067669F">
          <w:rPr>
            <w:noProof/>
            <w:webHidden/>
          </w:rPr>
          <w:t>33</w:t>
        </w:r>
        <w:r w:rsidR="00F06B46">
          <w:rPr>
            <w:noProof/>
            <w:webHidden/>
          </w:rPr>
          <w:fldChar w:fldCharType="end"/>
        </w:r>
      </w:hyperlink>
    </w:p>
    <w:p w14:paraId="62A5A272"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86" w:history="1">
        <w:r w:rsidR="00F06B46" w:rsidRPr="00A12D84">
          <w:rPr>
            <w:rStyle w:val="Hyperlink"/>
            <w:rFonts w:ascii="Arial" w:hAnsi="Arial" w:cs="Arial"/>
            <w:i/>
            <w:noProof/>
          </w:rPr>
          <w:t>2. Цели и политика за управление на финансовия риск</w:t>
        </w:r>
        <w:r w:rsidR="00F06B46">
          <w:rPr>
            <w:noProof/>
            <w:webHidden/>
          </w:rPr>
          <w:tab/>
        </w:r>
        <w:r w:rsidR="00F06B46">
          <w:rPr>
            <w:noProof/>
            <w:webHidden/>
          </w:rPr>
          <w:fldChar w:fldCharType="begin"/>
        </w:r>
        <w:r w:rsidR="00F06B46">
          <w:rPr>
            <w:noProof/>
            <w:webHidden/>
          </w:rPr>
          <w:instrText xml:space="preserve"> PAGEREF _Toc164268386 \h </w:instrText>
        </w:r>
        <w:r w:rsidR="00F06B46">
          <w:rPr>
            <w:noProof/>
            <w:webHidden/>
          </w:rPr>
        </w:r>
        <w:r w:rsidR="00F06B46">
          <w:rPr>
            <w:noProof/>
            <w:webHidden/>
          </w:rPr>
          <w:fldChar w:fldCharType="separate"/>
        </w:r>
        <w:r w:rsidR="0067669F">
          <w:rPr>
            <w:noProof/>
            <w:webHidden/>
          </w:rPr>
          <w:t>35</w:t>
        </w:r>
        <w:r w:rsidR="00F06B46">
          <w:rPr>
            <w:noProof/>
            <w:webHidden/>
          </w:rPr>
          <w:fldChar w:fldCharType="end"/>
        </w:r>
      </w:hyperlink>
    </w:p>
    <w:p w14:paraId="0755E129"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87" w:history="1">
        <w:r w:rsidR="00F06B46" w:rsidRPr="00A12D84">
          <w:rPr>
            <w:rStyle w:val="Hyperlink"/>
            <w:rFonts w:ascii="Arial" w:hAnsi="Arial" w:cs="Arial"/>
            <w:i/>
            <w:iCs/>
            <w:noProof/>
          </w:rPr>
          <w:t>Оценка</w:t>
        </w:r>
        <w:r w:rsidR="00F06B46">
          <w:rPr>
            <w:noProof/>
            <w:webHidden/>
          </w:rPr>
          <w:tab/>
        </w:r>
        <w:r w:rsidR="00F06B46">
          <w:rPr>
            <w:noProof/>
            <w:webHidden/>
          </w:rPr>
          <w:fldChar w:fldCharType="begin"/>
        </w:r>
        <w:r w:rsidR="00F06B46">
          <w:rPr>
            <w:noProof/>
            <w:webHidden/>
          </w:rPr>
          <w:instrText xml:space="preserve"> PAGEREF _Toc164268387 \h </w:instrText>
        </w:r>
        <w:r w:rsidR="00F06B46">
          <w:rPr>
            <w:noProof/>
            <w:webHidden/>
          </w:rPr>
        </w:r>
        <w:r w:rsidR="00F06B46">
          <w:rPr>
            <w:noProof/>
            <w:webHidden/>
          </w:rPr>
          <w:fldChar w:fldCharType="separate"/>
        </w:r>
        <w:r w:rsidR="0067669F">
          <w:rPr>
            <w:noProof/>
            <w:webHidden/>
          </w:rPr>
          <w:t>36</w:t>
        </w:r>
        <w:r w:rsidR="00F06B46">
          <w:rPr>
            <w:noProof/>
            <w:webHidden/>
          </w:rPr>
          <w:fldChar w:fldCharType="end"/>
        </w:r>
      </w:hyperlink>
    </w:p>
    <w:p w14:paraId="04AB8B09"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88" w:history="1">
        <w:r w:rsidR="00F06B46" w:rsidRPr="00A12D84">
          <w:rPr>
            <w:rStyle w:val="Hyperlink"/>
            <w:rFonts w:ascii="Arial" w:hAnsi="Arial" w:cs="Arial"/>
            <w:i/>
            <w:iCs/>
            <w:noProof/>
          </w:rPr>
          <w:t>Информация за финансовия риск</w:t>
        </w:r>
        <w:r w:rsidR="00F06B46">
          <w:rPr>
            <w:noProof/>
            <w:webHidden/>
          </w:rPr>
          <w:tab/>
        </w:r>
        <w:r w:rsidR="00F06B46">
          <w:rPr>
            <w:noProof/>
            <w:webHidden/>
          </w:rPr>
          <w:fldChar w:fldCharType="begin"/>
        </w:r>
        <w:r w:rsidR="00F06B46">
          <w:rPr>
            <w:noProof/>
            <w:webHidden/>
          </w:rPr>
          <w:instrText xml:space="preserve"> PAGEREF _Toc164268388 \h </w:instrText>
        </w:r>
        <w:r w:rsidR="00F06B46">
          <w:rPr>
            <w:noProof/>
            <w:webHidden/>
          </w:rPr>
        </w:r>
        <w:r w:rsidR="00F06B46">
          <w:rPr>
            <w:noProof/>
            <w:webHidden/>
          </w:rPr>
          <w:fldChar w:fldCharType="separate"/>
        </w:r>
        <w:r w:rsidR="0067669F">
          <w:rPr>
            <w:noProof/>
            <w:webHidden/>
          </w:rPr>
          <w:t>37</w:t>
        </w:r>
        <w:r w:rsidR="00F06B46">
          <w:rPr>
            <w:noProof/>
            <w:webHidden/>
          </w:rPr>
          <w:fldChar w:fldCharType="end"/>
        </w:r>
      </w:hyperlink>
    </w:p>
    <w:p w14:paraId="44018108"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89" w:history="1">
        <w:r w:rsidR="00F06B46" w:rsidRPr="00A12D84">
          <w:rPr>
            <w:rStyle w:val="Hyperlink"/>
            <w:rFonts w:ascii="Arial" w:hAnsi="Arial" w:cs="Arial"/>
            <w:noProof/>
          </w:rPr>
          <w:t>Кредитен  риск</w:t>
        </w:r>
        <w:r w:rsidR="00F06B46">
          <w:rPr>
            <w:noProof/>
            <w:webHidden/>
          </w:rPr>
          <w:tab/>
        </w:r>
        <w:r w:rsidR="00F06B46">
          <w:rPr>
            <w:noProof/>
            <w:webHidden/>
          </w:rPr>
          <w:fldChar w:fldCharType="begin"/>
        </w:r>
        <w:r w:rsidR="00F06B46">
          <w:rPr>
            <w:noProof/>
            <w:webHidden/>
          </w:rPr>
          <w:instrText xml:space="preserve"> PAGEREF _Toc164268389 \h </w:instrText>
        </w:r>
        <w:r w:rsidR="00F06B46">
          <w:rPr>
            <w:noProof/>
            <w:webHidden/>
          </w:rPr>
        </w:r>
        <w:r w:rsidR="00F06B46">
          <w:rPr>
            <w:noProof/>
            <w:webHidden/>
          </w:rPr>
          <w:fldChar w:fldCharType="separate"/>
        </w:r>
        <w:r w:rsidR="0067669F">
          <w:rPr>
            <w:noProof/>
            <w:webHidden/>
          </w:rPr>
          <w:t>37</w:t>
        </w:r>
        <w:r w:rsidR="00F06B46">
          <w:rPr>
            <w:noProof/>
            <w:webHidden/>
          </w:rPr>
          <w:fldChar w:fldCharType="end"/>
        </w:r>
      </w:hyperlink>
    </w:p>
    <w:p w14:paraId="08BFE28E"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90" w:history="1">
        <w:r w:rsidR="00F06B46" w:rsidRPr="00A12D84">
          <w:rPr>
            <w:rStyle w:val="Hyperlink"/>
            <w:rFonts w:ascii="Arial" w:hAnsi="Arial" w:cs="Arial"/>
            <w:noProof/>
          </w:rPr>
          <w:t>Ликвиден риск</w:t>
        </w:r>
        <w:r w:rsidR="00F06B46">
          <w:rPr>
            <w:noProof/>
            <w:webHidden/>
          </w:rPr>
          <w:tab/>
        </w:r>
        <w:r w:rsidR="00F06B46">
          <w:rPr>
            <w:noProof/>
            <w:webHidden/>
          </w:rPr>
          <w:fldChar w:fldCharType="begin"/>
        </w:r>
        <w:r w:rsidR="00F06B46">
          <w:rPr>
            <w:noProof/>
            <w:webHidden/>
          </w:rPr>
          <w:instrText xml:space="preserve"> PAGEREF _Toc164268390 \h </w:instrText>
        </w:r>
        <w:r w:rsidR="00F06B46">
          <w:rPr>
            <w:noProof/>
            <w:webHidden/>
          </w:rPr>
        </w:r>
        <w:r w:rsidR="00F06B46">
          <w:rPr>
            <w:noProof/>
            <w:webHidden/>
          </w:rPr>
          <w:fldChar w:fldCharType="separate"/>
        </w:r>
        <w:r w:rsidR="0067669F">
          <w:rPr>
            <w:noProof/>
            <w:webHidden/>
          </w:rPr>
          <w:t>37</w:t>
        </w:r>
        <w:r w:rsidR="00F06B46">
          <w:rPr>
            <w:noProof/>
            <w:webHidden/>
          </w:rPr>
          <w:fldChar w:fldCharType="end"/>
        </w:r>
      </w:hyperlink>
    </w:p>
    <w:p w14:paraId="44632279"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91" w:history="1">
        <w:r w:rsidR="00F06B46" w:rsidRPr="00A12D84">
          <w:rPr>
            <w:rStyle w:val="Hyperlink"/>
            <w:rFonts w:ascii="Arial" w:hAnsi="Arial" w:cs="Arial"/>
            <w:noProof/>
          </w:rPr>
          <w:t>Лихвен риск</w:t>
        </w:r>
        <w:r w:rsidR="00F06B46">
          <w:rPr>
            <w:noProof/>
            <w:webHidden/>
          </w:rPr>
          <w:tab/>
        </w:r>
        <w:r w:rsidR="00F06B46">
          <w:rPr>
            <w:noProof/>
            <w:webHidden/>
          </w:rPr>
          <w:fldChar w:fldCharType="begin"/>
        </w:r>
        <w:r w:rsidR="00F06B46">
          <w:rPr>
            <w:noProof/>
            <w:webHidden/>
          </w:rPr>
          <w:instrText xml:space="preserve"> PAGEREF _Toc164268391 \h </w:instrText>
        </w:r>
        <w:r w:rsidR="00F06B46">
          <w:rPr>
            <w:noProof/>
            <w:webHidden/>
          </w:rPr>
        </w:r>
        <w:r w:rsidR="00F06B46">
          <w:rPr>
            <w:noProof/>
            <w:webHidden/>
          </w:rPr>
          <w:fldChar w:fldCharType="separate"/>
        </w:r>
        <w:r w:rsidR="0067669F">
          <w:rPr>
            <w:noProof/>
            <w:webHidden/>
          </w:rPr>
          <w:t>37</w:t>
        </w:r>
        <w:r w:rsidR="00F06B46">
          <w:rPr>
            <w:noProof/>
            <w:webHidden/>
          </w:rPr>
          <w:fldChar w:fldCharType="end"/>
        </w:r>
      </w:hyperlink>
    </w:p>
    <w:p w14:paraId="2A2E6156"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92" w:history="1">
        <w:r w:rsidR="00F06B46" w:rsidRPr="00A12D84">
          <w:rPr>
            <w:rStyle w:val="Hyperlink"/>
            <w:rFonts w:ascii="Arial" w:hAnsi="Arial" w:cs="Arial"/>
            <w:noProof/>
          </w:rPr>
          <w:t>Валутен риск</w:t>
        </w:r>
        <w:r w:rsidR="00F06B46">
          <w:rPr>
            <w:noProof/>
            <w:webHidden/>
          </w:rPr>
          <w:tab/>
        </w:r>
        <w:r w:rsidR="00F06B46">
          <w:rPr>
            <w:noProof/>
            <w:webHidden/>
          </w:rPr>
          <w:fldChar w:fldCharType="begin"/>
        </w:r>
        <w:r w:rsidR="00F06B46">
          <w:rPr>
            <w:noProof/>
            <w:webHidden/>
          </w:rPr>
          <w:instrText xml:space="preserve"> PAGEREF _Toc164268392 \h </w:instrText>
        </w:r>
        <w:r w:rsidR="00F06B46">
          <w:rPr>
            <w:noProof/>
            <w:webHidden/>
          </w:rPr>
        </w:r>
        <w:r w:rsidR="00F06B46">
          <w:rPr>
            <w:noProof/>
            <w:webHidden/>
          </w:rPr>
          <w:fldChar w:fldCharType="separate"/>
        </w:r>
        <w:r w:rsidR="0067669F">
          <w:rPr>
            <w:noProof/>
            <w:webHidden/>
          </w:rPr>
          <w:t>37</w:t>
        </w:r>
        <w:r w:rsidR="00F06B46">
          <w:rPr>
            <w:noProof/>
            <w:webHidden/>
          </w:rPr>
          <w:fldChar w:fldCharType="end"/>
        </w:r>
      </w:hyperlink>
    </w:p>
    <w:p w14:paraId="5058F0DD"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93" w:history="1">
        <w:r w:rsidR="00F06B46" w:rsidRPr="00A12D84">
          <w:rPr>
            <w:rStyle w:val="Hyperlink"/>
            <w:rFonts w:ascii="Arial" w:hAnsi="Arial" w:cs="Arial"/>
            <w:noProof/>
          </w:rPr>
          <w:t>Пазарен риск</w:t>
        </w:r>
        <w:r w:rsidR="00F06B46">
          <w:rPr>
            <w:noProof/>
            <w:webHidden/>
          </w:rPr>
          <w:tab/>
        </w:r>
        <w:r w:rsidR="00F06B46">
          <w:rPr>
            <w:noProof/>
            <w:webHidden/>
          </w:rPr>
          <w:fldChar w:fldCharType="begin"/>
        </w:r>
        <w:r w:rsidR="00F06B46">
          <w:rPr>
            <w:noProof/>
            <w:webHidden/>
          </w:rPr>
          <w:instrText xml:space="preserve"> PAGEREF _Toc164268393 \h </w:instrText>
        </w:r>
        <w:r w:rsidR="00F06B46">
          <w:rPr>
            <w:noProof/>
            <w:webHidden/>
          </w:rPr>
        </w:r>
        <w:r w:rsidR="00F06B46">
          <w:rPr>
            <w:noProof/>
            <w:webHidden/>
          </w:rPr>
          <w:fldChar w:fldCharType="separate"/>
        </w:r>
        <w:r w:rsidR="0067669F">
          <w:rPr>
            <w:noProof/>
            <w:webHidden/>
          </w:rPr>
          <w:t>38</w:t>
        </w:r>
        <w:r w:rsidR="00F06B46">
          <w:rPr>
            <w:noProof/>
            <w:webHidden/>
          </w:rPr>
          <w:fldChar w:fldCharType="end"/>
        </w:r>
      </w:hyperlink>
    </w:p>
    <w:p w14:paraId="7F1D3934" w14:textId="77777777" w:rsidR="00F06B46" w:rsidRDefault="00000000">
      <w:pPr>
        <w:pStyle w:val="TOC3"/>
        <w:tabs>
          <w:tab w:val="right" w:leader="dot" w:pos="9457"/>
        </w:tabs>
        <w:rPr>
          <w:rFonts w:asciiTheme="minorHAnsi" w:eastAsiaTheme="minorEastAsia" w:hAnsiTheme="minorHAnsi" w:cstheme="minorBidi"/>
          <w:noProof/>
          <w:szCs w:val="22"/>
          <w:lang w:eastAsia="bg-BG"/>
        </w:rPr>
      </w:pPr>
      <w:hyperlink w:anchor="_Toc164268394" w:history="1">
        <w:r w:rsidR="00F06B46" w:rsidRPr="00A12D84">
          <w:rPr>
            <w:rStyle w:val="Hyperlink"/>
            <w:rFonts w:ascii="Arial" w:hAnsi="Arial" w:cs="Arial"/>
            <w:noProof/>
          </w:rPr>
          <w:t>Климатични рискове</w:t>
        </w:r>
        <w:r w:rsidR="00F06B46">
          <w:rPr>
            <w:noProof/>
            <w:webHidden/>
          </w:rPr>
          <w:tab/>
        </w:r>
        <w:r w:rsidR="00F06B46">
          <w:rPr>
            <w:noProof/>
            <w:webHidden/>
          </w:rPr>
          <w:fldChar w:fldCharType="begin"/>
        </w:r>
        <w:r w:rsidR="00F06B46">
          <w:rPr>
            <w:noProof/>
            <w:webHidden/>
          </w:rPr>
          <w:instrText xml:space="preserve"> PAGEREF _Toc164268394 \h </w:instrText>
        </w:r>
        <w:r w:rsidR="00F06B46">
          <w:rPr>
            <w:noProof/>
            <w:webHidden/>
          </w:rPr>
        </w:r>
        <w:r w:rsidR="00F06B46">
          <w:rPr>
            <w:noProof/>
            <w:webHidden/>
          </w:rPr>
          <w:fldChar w:fldCharType="separate"/>
        </w:r>
        <w:r w:rsidR="0067669F">
          <w:rPr>
            <w:noProof/>
            <w:webHidden/>
          </w:rPr>
          <w:t>38</w:t>
        </w:r>
        <w:r w:rsidR="00F06B46">
          <w:rPr>
            <w:noProof/>
            <w:webHidden/>
          </w:rPr>
          <w:fldChar w:fldCharType="end"/>
        </w:r>
      </w:hyperlink>
    </w:p>
    <w:p w14:paraId="1F2887D0"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95" w:history="1">
        <w:r w:rsidR="00F06B46" w:rsidRPr="00A12D84">
          <w:rPr>
            <w:rStyle w:val="Hyperlink"/>
            <w:rFonts w:ascii="Arial" w:hAnsi="Arial" w:cs="Arial"/>
            <w:noProof/>
          </w:rPr>
          <w:t>3</w:t>
        </w:r>
        <w:r w:rsidR="00F06B46" w:rsidRPr="00A12D84">
          <w:rPr>
            <w:rStyle w:val="Hyperlink"/>
            <w:rFonts w:ascii="Arial" w:hAnsi="Arial" w:cs="Arial"/>
            <w:i/>
            <w:noProof/>
          </w:rPr>
          <w:t>. Управление на капитала</w:t>
        </w:r>
        <w:r w:rsidR="00F06B46">
          <w:rPr>
            <w:noProof/>
            <w:webHidden/>
          </w:rPr>
          <w:tab/>
        </w:r>
        <w:r w:rsidR="00F06B46">
          <w:rPr>
            <w:noProof/>
            <w:webHidden/>
          </w:rPr>
          <w:fldChar w:fldCharType="begin"/>
        </w:r>
        <w:r w:rsidR="00F06B46">
          <w:rPr>
            <w:noProof/>
            <w:webHidden/>
          </w:rPr>
          <w:instrText xml:space="preserve"> PAGEREF _Toc164268395 \h </w:instrText>
        </w:r>
        <w:r w:rsidR="00F06B46">
          <w:rPr>
            <w:noProof/>
            <w:webHidden/>
          </w:rPr>
        </w:r>
        <w:r w:rsidR="00F06B46">
          <w:rPr>
            <w:noProof/>
            <w:webHidden/>
          </w:rPr>
          <w:fldChar w:fldCharType="separate"/>
        </w:r>
        <w:r w:rsidR="0067669F">
          <w:rPr>
            <w:noProof/>
            <w:webHidden/>
          </w:rPr>
          <w:t>39</w:t>
        </w:r>
        <w:r w:rsidR="00F06B46">
          <w:rPr>
            <w:noProof/>
            <w:webHidden/>
          </w:rPr>
          <w:fldChar w:fldCharType="end"/>
        </w:r>
      </w:hyperlink>
    </w:p>
    <w:p w14:paraId="70EEFD38"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96" w:history="1">
        <w:r w:rsidR="00F06B46" w:rsidRPr="00A12D84">
          <w:rPr>
            <w:rStyle w:val="Hyperlink"/>
            <w:rFonts w:ascii="Arial" w:hAnsi="Arial" w:cs="Arial"/>
            <w:i/>
            <w:noProof/>
          </w:rPr>
          <w:t>4. Условни активи и пасиви</w:t>
        </w:r>
        <w:r w:rsidR="00F06B46">
          <w:rPr>
            <w:noProof/>
            <w:webHidden/>
          </w:rPr>
          <w:tab/>
        </w:r>
        <w:r w:rsidR="00F06B46">
          <w:rPr>
            <w:noProof/>
            <w:webHidden/>
          </w:rPr>
          <w:fldChar w:fldCharType="begin"/>
        </w:r>
        <w:r w:rsidR="00F06B46">
          <w:rPr>
            <w:noProof/>
            <w:webHidden/>
          </w:rPr>
          <w:instrText xml:space="preserve"> PAGEREF _Toc164268396 \h </w:instrText>
        </w:r>
        <w:r w:rsidR="00F06B46">
          <w:rPr>
            <w:noProof/>
            <w:webHidden/>
          </w:rPr>
        </w:r>
        <w:r w:rsidR="00F06B46">
          <w:rPr>
            <w:noProof/>
            <w:webHidden/>
          </w:rPr>
          <w:fldChar w:fldCharType="separate"/>
        </w:r>
        <w:r w:rsidR="0067669F">
          <w:rPr>
            <w:noProof/>
            <w:webHidden/>
          </w:rPr>
          <w:t>39</w:t>
        </w:r>
        <w:r w:rsidR="00F06B46">
          <w:rPr>
            <w:noProof/>
            <w:webHidden/>
          </w:rPr>
          <w:fldChar w:fldCharType="end"/>
        </w:r>
      </w:hyperlink>
    </w:p>
    <w:p w14:paraId="1B753233"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97" w:history="1">
        <w:r w:rsidR="00F06B46" w:rsidRPr="00A12D84">
          <w:rPr>
            <w:rStyle w:val="Hyperlink"/>
            <w:rFonts w:ascii="Arial" w:hAnsi="Arial" w:cs="Arial"/>
            <w:i/>
            <w:noProof/>
          </w:rPr>
          <w:t>6. Възнаграждение за одит</w:t>
        </w:r>
        <w:r w:rsidR="00F06B46">
          <w:rPr>
            <w:noProof/>
            <w:webHidden/>
          </w:rPr>
          <w:tab/>
        </w:r>
        <w:r w:rsidR="00F06B46">
          <w:rPr>
            <w:noProof/>
            <w:webHidden/>
          </w:rPr>
          <w:fldChar w:fldCharType="begin"/>
        </w:r>
        <w:r w:rsidR="00F06B46">
          <w:rPr>
            <w:noProof/>
            <w:webHidden/>
          </w:rPr>
          <w:instrText xml:space="preserve"> PAGEREF _Toc164268397 \h </w:instrText>
        </w:r>
        <w:r w:rsidR="00F06B46">
          <w:rPr>
            <w:noProof/>
            <w:webHidden/>
          </w:rPr>
        </w:r>
        <w:r w:rsidR="00F06B46">
          <w:rPr>
            <w:noProof/>
            <w:webHidden/>
          </w:rPr>
          <w:fldChar w:fldCharType="separate"/>
        </w:r>
        <w:r w:rsidR="0067669F">
          <w:rPr>
            <w:noProof/>
            <w:webHidden/>
          </w:rPr>
          <w:t>39</w:t>
        </w:r>
        <w:r w:rsidR="00F06B46">
          <w:rPr>
            <w:noProof/>
            <w:webHidden/>
          </w:rPr>
          <w:fldChar w:fldCharType="end"/>
        </w:r>
      </w:hyperlink>
    </w:p>
    <w:p w14:paraId="7A1394E2" w14:textId="77777777"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98" w:history="1">
        <w:r w:rsidR="00F06B46" w:rsidRPr="00A12D84">
          <w:rPr>
            <w:rStyle w:val="Hyperlink"/>
            <w:rFonts w:ascii="Arial" w:hAnsi="Arial" w:cs="Arial"/>
            <w:i/>
            <w:noProof/>
          </w:rPr>
          <w:t>7. Принцип-предположение за действащо предприятие – финансово състояние</w:t>
        </w:r>
        <w:r w:rsidR="00F06B46">
          <w:rPr>
            <w:noProof/>
            <w:webHidden/>
          </w:rPr>
          <w:tab/>
        </w:r>
        <w:r w:rsidR="00F06B46">
          <w:rPr>
            <w:noProof/>
            <w:webHidden/>
          </w:rPr>
          <w:fldChar w:fldCharType="begin"/>
        </w:r>
        <w:r w:rsidR="00F06B46">
          <w:rPr>
            <w:noProof/>
            <w:webHidden/>
          </w:rPr>
          <w:instrText xml:space="preserve"> PAGEREF _Toc164268398 \h </w:instrText>
        </w:r>
        <w:r w:rsidR="00F06B46">
          <w:rPr>
            <w:noProof/>
            <w:webHidden/>
          </w:rPr>
        </w:r>
        <w:r w:rsidR="00F06B46">
          <w:rPr>
            <w:noProof/>
            <w:webHidden/>
          </w:rPr>
          <w:fldChar w:fldCharType="separate"/>
        </w:r>
        <w:r w:rsidR="0067669F">
          <w:rPr>
            <w:noProof/>
            <w:webHidden/>
          </w:rPr>
          <w:t>39</w:t>
        </w:r>
        <w:r w:rsidR="00F06B46">
          <w:rPr>
            <w:noProof/>
            <w:webHidden/>
          </w:rPr>
          <w:fldChar w:fldCharType="end"/>
        </w:r>
      </w:hyperlink>
    </w:p>
    <w:p w14:paraId="5C439172" w14:textId="338018E6" w:rsidR="00F06B46" w:rsidRDefault="00000000">
      <w:pPr>
        <w:pStyle w:val="TOC2"/>
        <w:tabs>
          <w:tab w:val="right" w:leader="dot" w:pos="9457"/>
        </w:tabs>
        <w:rPr>
          <w:rFonts w:asciiTheme="minorHAnsi" w:eastAsiaTheme="minorEastAsia" w:hAnsiTheme="minorHAnsi" w:cstheme="minorBidi"/>
          <w:noProof/>
          <w:szCs w:val="22"/>
          <w:lang w:eastAsia="bg-BG"/>
        </w:rPr>
      </w:pPr>
      <w:hyperlink w:anchor="_Toc164268399" w:history="1">
        <w:r w:rsidR="00F06B46" w:rsidRPr="00A12D84">
          <w:rPr>
            <w:rStyle w:val="Hyperlink"/>
            <w:rFonts w:ascii="Arial" w:hAnsi="Arial" w:cs="Arial"/>
            <w:i/>
            <w:noProof/>
          </w:rPr>
          <w:t>8</w:t>
        </w:r>
        <w:r w:rsidR="0067669F">
          <w:rPr>
            <w:rStyle w:val="Hyperlink"/>
            <w:rFonts w:ascii="Arial" w:hAnsi="Arial" w:cs="Arial"/>
            <w:i/>
            <w:noProof/>
          </w:rPr>
          <w:t>. Значими събития през първо шест</w:t>
        </w:r>
        <w:r w:rsidR="00F06B46" w:rsidRPr="00A12D84">
          <w:rPr>
            <w:rStyle w:val="Hyperlink"/>
            <w:rFonts w:ascii="Arial" w:hAnsi="Arial" w:cs="Arial"/>
            <w:i/>
            <w:noProof/>
          </w:rPr>
          <w:t>месечие на 2024г. и ефекти върху дружеството</w:t>
        </w:r>
        <w:r w:rsidR="00F06B46">
          <w:rPr>
            <w:noProof/>
            <w:webHidden/>
          </w:rPr>
          <w:tab/>
        </w:r>
        <w:r w:rsidR="00F06B46">
          <w:rPr>
            <w:noProof/>
            <w:webHidden/>
          </w:rPr>
          <w:fldChar w:fldCharType="begin"/>
        </w:r>
        <w:r w:rsidR="00F06B46">
          <w:rPr>
            <w:noProof/>
            <w:webHidden/>
          </w:rPr>
          <w:instrText xml:space="preserve"> PAGEREF _Toc164268399 \h </w:instrText>
        </w:r>
        <w:r w:rsidR="00F06B46">
          <w:rPr>
            <w:noProof/>
            <w:webHidden/>
          </w:rPr>
        </w:r>
        <w:r w:rsidR="00F06B46">
          <w:rPr>
            <w:noProof/>
            <w:webHidden/>
          </w:rPr>
          <w:fldChar w:fldCharType="separate"/>
        </w:r>
        <w:r w:rsidR="0067669F">
          <w:rPr>
            <w:noProof/>
            <w:webHidden/>
          </w:rPr>
          <w:t>40</w:t>
        </w:r>
        <w:r w:rsidR="00F06B46">
          <w:rPr>
            <w:noProof/>
            <w:webHidden/>
          </w:rPr>
          <w:fldChar w:fldCharType="end"/>
        </w:r>
      </w:hyperlink>
    </w:p>
    <w:p w14:paraId="272F9942" w14:textId="77777777" w:rsidR="00F06B46" w:rsidRDefault="00000000">
      <w:pPr>
        <w:pStyle w:val="TOC1"/>
        <w:rPr>
          <w:rFonts w:asciiTheme="minorHAnsi" w:eastAsiaTheme="minorEastAsia" w:hAnsiTheme="minorHAnsi" w:cstheme="minorBidi"/>
          <w:bCs w:val="0"/>
          <w:snapToGrid/>
          <w:lang w:eastAsia="bg-BG"/>
        </w:rPr>
      </w:pPr>
      <w:hyperlink w:anchor="_Toc164268400" w:history="1">
        <w:r w:rsidR="00F06B46" w:rsidRPr="00A12D84">
          <w:rPr>
            <w:rStyle w:val="Hyperlink"/>
            <w:rFonts w:ascii="Arial" w:hAnsi="Arial" w:cs="Arial"/>
          </w:rPr>
          <w:t>V. ФИНАНСОВИ ПОКАЗАТЕЛИ</w:t>
        </w:r>
        <w:r w:rsidR="00F06B46">
          <w:rPr>
            <w:webHidden/>
          </w:rPr>
          <w:tab/>
        </w:r>
        <w:r w:rsidR="00F06B46">
          <w:rPr>
            <w:webHidden/>
          </w:rPr>
          <w:fldChar w:fldCharType="begin"/>
        </w:r>
        <w:r w:rsidR="00F06B46">
          <w:rPr>
            <w:webHidden/>
          </w:rPr>
          <w:instrText xml:space="preserve"> PAGEREF _Toc164268400 \h </w:instrText>
        </w:r>
        <w:r w:rsidR="00F06B46">
          <w:rPr>
            <w:webHidden/>
          </w:rPr>
        </w:r>
        <w:r w:rsidR="00F06B46">
          <w:rPr>
            <w:webHidden/>
          </w:rPr>
          <w:fldChar w:fldCharType="separate"/>
        </w:r>
        <w:r w:rsidR="0067669F">
          <w:rPr>
            <w:webHidden/>
          </w:rPr>
          <w:t>41</w:t>
        </w:r>
        <w:r w:rsidR="00F06B46">
          <w:rPr>
            <w:webHidden/>
          </w:rPr>
          <w:fldChar w:fldCharType="end"/>
        </w:r>
      </w:hyperlink>
    </w:p>
    <w:p w14:paraId="7DC5B95D" w14:textId="77777777" w:rsidR="00B66DF8" w:rsidRPr="00B14C47" w:rsidRDefault="004A37D4" w:rsidP="00B66DF8">
      <w:pPr>
        <w:rPr>
          <w:rFonts w:ascii="Arial" w:hAnsi="Arial" w:cs="Arial"/>
          <w:sz w:val="20"/>
        </w:rPr>
      </w:pPr>
      <w:r w:rsidRPr="00B14C47">
        <w:rPr>
          <w:rFonts w:ascii="Arial" w:hAnsi="Arial" w:cs="Arial"/>
          <w:bCs/>
          <w:szCs w:val="22"/>
        </w:rPr>
        <w:fldChar w:fldCharType="end"/>
      </w:r>
    </w:p>
    <w:p w14:paraId="25651C99" w14:textId="5B55B9D3" w:rsidR="00B66DF8" w:rsidRPr="00B14C47" w:rsidRDefault="00B66DF8" w:rsidP="00B66DF8">
      <w:pPr>
        <w:rPr>
          <w:rFonts w:ascii="Arial" w:hAnsi="Arial" w:cs="Arial"/>
          <w:sz w:val="20"/>
        </w:rPr>
      </w:pPr>
    </w:p>
    <w:p w14:paraId="3306DE24" w14:textId="77777777" w:rsidR="006F02F3" w:rsidRPr="00B14C47" w:rsidRDefault="006F02F3" w:rsidP="006F02F3">
      <w:pPr>
        <w:rPr>
          <w:rFonts w:ascii="Arial" w:hAnsi="Arial" w:cs="Arial"/>
          <w:szCs w:val="22"/>
          <w:lang w:val="en-US"/>
        </w:rPr>
      </w:pPr>
      <w:bookmarkStart w:id="2" w:name="_Toc247959122"/>
      <w:bookmarkStart w:id="3" w:name="_Toc270424830"/>
    </w:p>
    <w:p w14:paraId="2984ECA3" w14:textId="77777777" w:rsidR="006F02F3" w:rsidRPr="00B14C47" w:rsidRDefault="006F02F3" w:rsidP="006F02F3">
      <w:pPr>
        <w:rPr>
          <w:rFonts w:ascii="Arial" w:hAnsi="Arial" w:cs="Arial"/>
          <w:szCs w:val="22"/>
          <w:lang w:val="en-US"/>
        </w:rPr>
      </w:pPr>
    </w:p>
    <w:p w14:paraId="6B76EFB8" w14:textId="77777777" w:rsidR="006F02F3" w:rsidRPr="00B14C47" w:rsidRDefault="006F02F3" w:rsidP="006F02F3">
      <w:pPr>
        <w:rPr>
          <w:rFonts w:ascii="Arial" w:hAnsi="Arial" w:cs="Arial"/>
          <w:szCs w:val="22"/>
          <w:lang w:val="en-US"/>
        </w:rPr>
      </w:pPr>
    </w:p>
    <w:p w14:paraId="68174075" w14:textId="77777777" w:rsidR="00F06B46" w:rsidRDefault="00F06B46" w:rsidP="006F02F3">
      <w:pPr>
        <w:spacing w:line="320" w:lineRule="atLeast"/>
        <w:ind w:left="360"/>
        <w:jc w:val="center"/>
        <w:rPr>
          <w:rFonts w:ascii="Arial" w:hAnsi="Arial" w:cs="Arial"/>
          <w:sz w:val="72"/>
          <w:szCs w:val="72"/>
          <w:u w:val="single"/>
          <w:lang w:eastAsia="zh-CN"/>
        </w:rPr>
      </w:pPr>
    </w:p>
    <w:p w14:paraId="5F10AD48" w14:textId="77777777" w:rsidR="00F06B46" w:rsidRDefault="00F06B46" w:rsidP="006F02F3">
      <w:pPr>
        <w:spacing w:line="320" w:lineRule="atLeast"/>
        <w:ind w:left="360"/>
        <w:jc w:val="center"/>
        <w:rPr>
          <w:rFonts w:ascii="Arial" w:hAnsi="Arial" w:cs="Arial"/>
          <w:sz w:val="72"/>
          <w:szCs w:val="72"/>
          <w:u w:val="single"/>
          <w:lang w:eastAsia="zh-CN"/>
        </w:rPr>
      </w:pPr>
    </w:p>
    <w:p w14:paraId="1DD488C3" w14:textId="77777777" w:rsidR="00F06B46" w:rsidRDefault="00F06B46" w:rsidP="006F02F3">
      <w:pPr>
        <w:spacing w:line="320" w:lineRule="atLeast"/>
        <w:ind w:left="360"/>
        <w:jc w:val="center"/>
        <w:rPr>
          <w:rFonts w:ascii="Arial" w:hAnsi="Arial" w:cs="Arial"/>
          <w:sz w:val="72"/>
          <w:szCs w:val="72"/>
          <w:u w:val="single"/>
          <w:lang w:eastAsia="zh-CN"/>
        </w:rPr>
      </w:pPr>
    </w:p>
    <w:p w14:paraId="7D8F6000" w14:textId="77777777" w:rsidR="00F06B46" w:rsidRDefault="00F06B46" w:rsidP="006F02F3">
      <w:pPr>
        <w:spacing w:line="320" w:lineRule="atLeast"/>
        <w:ind w:left="360"/>
        <w:jc w:val="center"/>
        <w:rPr>
          <w:rFonts w:ascii="Arial" w:hAnsi="Arial" w:cs="Arial"/>
          <w:sz w:val="72"/>
          <w:szCs w:val="72"/>
          <w:u w:val="single"/>
          <w:lang w:eastAsia="zh-CN"/>
        </w:rPr>
      </w:pPr>
    </w:p>
    <w:p w14:paraId="0062E4ED" w14:textId="77777777" w:rsidR="00F06B46" w:rsidRDefault="00F06B46" w:rsidP="006F02F3">
      <w:pPr>
        <w:spacing w:line="320" w:lineRule="atLeast"/>
        <w:ind w:left="360"/>
        <w:jc w:val="center"/>
        <w:rPr>
          <w:rFonts w:ascii="Arial" w:hAnsi="Arial" w:cs="Arial"/>
          <w:sz w:val="72"/>
          <w:szCs w:val="72"/>
          <w:u w:val="single"/>
          <w:lang w:eastAsia="zh-CN"/>
        </w:rPr>
      </w:pPr>
    </w:p>
    <w:p w14:paraId="6CF51490" w14:textId="77777777" w:rsidR="00F06B46" w:rsidRDefault="00F06B46" w:rsidP="006F02F3">
      <w:pPr>
        <w:spacing w:line="320" w:lineRule="atLeast"/>
        <w:ind w:left="360"/>
        <w:jc w:val="center"/>
        <w:rPr>
          <w:rFonts w:ascii="Arial" w:hAnsi="Arial" w:cs="Arial"/>
          <w:sz w:val="72"/>
          <w:szCs w:val="72"/>
          <w:u w:val="single"/>
          <w:lang w:eastAsia="zh-CN"/>
        </w:rPr>
      </w:pPr>
    </w:p>
    <w:p w14:paraId="1122C88F" w14:textId="77777777" w:rsidR="00F06B46" w:rsidRDefault="00F06B46" w:rsidP="006F02F3">
      <w:pPr>
        <w:spacing w:line="320" w:lineRule="atLeast"/>
        <w:ind w:left="360"/>
        <w:jc w:val="center"/>
        <w:rPr>
          <w:rFonts w:ascii="Arial" w:hAnsi="Arial" w:cs="Arial"/>
          <w:sz w:val="72"/>
          <w:szCs w:val="72"/>
          <w:u w:val="single"/>
          <w:lang w:eastAsia="zh-CN"/>
        </w:rPr>
      </w:pPr>
    </w:p>
    <w:p w14:paraId="7E74DB8E" w14:textId="77777777" w:rsidR="00F06B46" w:rsidRDefault="00F06B46" w:rsidP="006F02F3">
      <w:pPr>
        <w:spacing w:line="320" w:lineRule="atLeast"/>
        <w:ind w:left="360"/>
        <w:jc w:val="center"/>
        <w:rPr>
          <w:rFonts w:ascii="Arial" w:hAnsi="Arial" w:cs="Arial"/>
          <w:sz w:val="72"/>
          <w:szCs w:val="72"/>
          <w:u w:val="single"/>
          <w:lang w:eastAsia="zh-CN"/>
        </w:rPr>
      </w:pPr>
    </w:p>
    <w:p w14:paraId="6417CCF9" w14:textId="77777777" w:rsidR="00F06B46" w:rsidRDefault="00F06B46" w:rsidP="006F02F3">
      <w:pPr>
        <w:spacing w:line="320" w:lineRule="atLeast"/>
        <w:ind w:left="360"/>
        <w:jc w:val="center"/>
        <w:rPr>
          <w:rFonts w:ascii="Arial" w:hAnsi="Arial" w:cs="Arial"/>
          <w:sz w:val="72"/>
          <w:szCs w:val="72"/>
          <w:u w:val="single"/>
          <w:lang w:eastAsia="zh-CN"/>
        </w:rPr>
      </w:pPr>
    </w:p>
    <w:p w14:paraId="001F4600" w14:textId="77777777" w:rsidR="00F06B46" w:rsidRDefault="00F06B46" w:rsidP="006F02F3">
      <w:pPr>
        <w:spacing w:line="320" w:lineRule="atLeast"/>
        <w:ind w:left="360"/>
        <w:jc w:val="center"/>
        <w:rPr>
          <w:rFonts w:ascii="Arial" w:hAnsi="Arial" w:cs="Arial"/>
          <w:sz w:val="72"/>
          <w:szCs w:val="72"/>
          <w:u w:val="single"/>
          <w:lang w:eastAsia="zh-CN"/>
        </w:rPr>
      </w:pPr>
    </w:p>
    <w:p w14:paraId="4CD76320" w14:textId="77777777" w:rsidR="006F02F3" w:rsidRPr="00B14C47" w:rsidRDefault="006F02F3" w:rsidP="006F02F3">
      <w:pPr>
        <w:spacing w:line="320" w:lineRule="atLeast"/>
        <w:ind w:left="360"/>
        <w:jc w:val="center"/>
        <w:rPr>
          <w:rFonts w:ascii="Arial" w:hAnsi="Arial" w:cs="Arial"/>
          <w:sz w:val="72"/>
          <w:szCs w:val="72"/>
          <w:u w:val="single"/>
          <w:lang w:eastAsia="zh-CN"/>
        </w:rPr>
      </w:pPr>
      <w:r w:rsidRPr="00B14C47">
        <w:rPr>
          <w:noProof/>
          <w:lang w:eastAsia="bg-BG"/>
        </w:rPr>
        <w:drawing>
          <wp:anchor distT="0" distB="0" distL="114300" distR="114300" simplePos="0" relativeHeight="251666432" behindDoc="0" locked="0" layoutInCell="1" allowOverlap="1" wp14:anchorId="0A922FEB" wp14:editId="25450DE2">
            <wp:simplePos x="0" y="0"/>
            <wp:positionH relativeFrom="margin">
              <wp:posOffset>2231390</wp:posOffset>
            </wp:positionH>
            <wp:positionV relativeFrom="margin">
              <wp:posOffset>121285</wp:posOffset>
            </wp:positionV>
            <wp:extent cx="1325880" cy="675640"/>
            <wp:effectExtent l="0" t="0" r="7620" b="0"/>
            <wp:wrapSquare wrapText="bothSides"/>
            <wp:docPr id="55" name="Picture 55" descr="inf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fr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675640"/>
                    </a:xfrm>
                    <a:prstGeom prst="rect">
                      <a:avLst/>
                    </a:prstGeom>
                    <a:noFill/>
                    <a:ln>
                      <a:noFill/>
                    </a:ln>
                  </pic:spPr>
                </pic:pic>
              </a:graphicData>
            </a:graphic>
          </wp:anchor>
        </w:drawing>
      </w:r>
    </w:p>
    <w:p w14:paraId="7E029112" w14:textId="77777777" w:rsidR="00507EF7" w:rsidRPr="00B14C47" w:rsidRDefault="00507EF7" w:rsidP="00507EF7"/>
    <w:p w14:paraId="4384668F" w14:textId="77777777" w:rsidR="00507EF7" w:rsidRPr="00B14C47" w:rsidRDefault="00507EF7" w:rsidP="00507EF7"/>
    <w:p w14:paraId="495F6214" w14:textId="0170C5EA" w:rsidR="00B66DF8" w:rsidRPr="00B14C47" w:rsidRDefault="00363E26" w:rsidP="00B66DF8">
      <w:pPr>
        <w:pStyle w:val="Heading1"/>
        <w:spacing w:before="0"/>
        <w:ind w:right="-1370"/>
        <w:rPr>
          <w:rFonts w:ascii="Arial" w:hAnsi="Arial" w:cs="Arial"/>
          <w:snapToGrid w:val="0"/>
          <w:sz w:val="20"/>
          <w:szCs w:val="20"/>
          <w:lang w:val="bg-BG"/>
        </w:rPr>
      </w:pPr>
      <w:bookmarkStart w:id="4" w:name="_Toc164268319"/>
      <w:r w:rsidRPr="00B14C47">
        <w:rPr>
          <w:rFonts w:ascii="Arial" w:hAnsi="Arial" w:cs="Arial"/>
          <w:snapToGrid w:val="0"/>
          <w:sz w:val="20"/>
          <w:szCs w:val="20"/>
          <w:lang w:val="bg-BG"/>
        </w:rPr>
        <w:t>ИНДИВИДУАЛЕН</w:t>
      </w:r>
      <w:r w:rsidRPr="00B14C47">
        <w:rPr>
          <w:rFonts w:ascii="Arial" w:hAnsi="Arial" w:cs="Arial"/>
          <w:snapToGrid w:val="0"/>
          <w:color w:val="FF0000"/>
          <w:sz w:val="20"/>
          <w:szCs w:val="20"/>
          <w:lang w:val="bg-BG"/>
        </w:rPr>
        <w:t xml:space="preserve"> </w:t>
      </w:r>
      <w:r w:rsidR="008D54DC">
        <w:rPr>
          <w:rFonts w:ascii="Arial" w:hAnsi="Arial" w:cs="Arial"/>
          <w:snapToGrid w:val="0"/>
          <w:sz w:val="20"/>
          <w:szCs w:val="20"/>
          <w:lang w:val="bg-BG"/>
        </w:rPr>
        <w:t>МЕЖДИНЕН</w:t>
      </w:r>
      <w:r w:rsidR="004A74F1" w:rsidRPr="00B14C47">
        <w:rPr>
          <w:rFonts w:ascii="Arial" w:hAnsi="Arial" w:cs="Arial"/>
          <w:snapToGrid w:val="0"/>
          <w:sz w:val="20"/>
          <w:szCs w:val="20"/>
          <w:lang w:val="bg-BG"/>
        </w:rPr>
        <w:t xml:space="preserve"> </w:t>
      </w:r>
      <w:r w:rsidR="00B66DF8" w:rsidRPr="00B14C47">
        <w:rPr>
          <w:rFonts w:ascii="Arial" w:hAnsi="Arial" w:cs="Arial"/>
          <w:snapToGrid w:val="0"/>
          <w:sz w:val="20"/>
          <w:szCs w:val="20"/>
          <w:lang w:val="bg-BG"/>
        </w:rPr>
        <w:t>ФИНАНСОВ ОТЧЕТ</w:t>
      </w:r>
      <w:bookmarkEnd w:id="2"/>
      <w:bookmarkEnd w:id="3"/>
      <w:bookmarkEnd w:id="4"/>
      <w:r w:rsidR="008D54DC">
        <w:rPr>
          <w:rFonts w:ascii="Arial" w:hAnsi="Arial" w:cs="Arial"/>
          <w:snapToGrid w:val="0"/>
          <w:sz w:val="20"/>
          <w:szCs w:val="20"/>
          <w:lang w:val="bg-BG"/>
        </w:rPr>
        <w:t xml:space="preserve"> ЗА ПЪРВО ШЕСТМЕСЕЧИЕ НА 2024</w:t>
      </w:r>
    </w:p>
    <w:p w14:paraId="6B4262D8" w14:textId="77777777" w:rsidR="00B66DF8" w:rsidRPr="00B14C47" w:rsidRDefault="00B66DF8" w:rsidP="00B66DF8">
      <w:pPr>
        <w:rPr>
          <w:rFonts w:ascii="Arial" w:hAnsi="Arial" w:cs="Arial"/>
          <w:sz w:val="20"/>
        </w:rPr>
      </w:pPr>
    </w:p>
    <w:p w14:paraId="6CD6E08B" w14:textId="77777777" w:rsidR="00B66DF8" w:rsidRPr="00B14C47" w:rsidRDefault="00B66DF8" w:rsidP="00B66DF8">
      <w:pPr>
        <w:pStyle w:val="Heading1"/>
        <w:spacing w:before="0"/>
        <w:rPr>
          <w:rFonts w:ascii="Arial" w:hAnsi="Arial" w:cs="Arial"/>
          <w:snapToGrid w:val="0"/>
          <w:sz w:val="20"/>
          <w:szCs w:val="20"/>
          <w:lang w:val="bg-BG"/>
        </w:rPr>
      </w:pPr>
      <w:bookmarkStart w:id="5" w:name="_Toc164268320"/>
      <w:r w:rsidRPr="00B14C47">
        <w:rPr>
          <w:rFonts w:ascii="Arial" w:hAnsi="Arial" w:cs="Arial"/>
          <w:snapToGrid w:val="0"/>
          <w:sz w:val="20"/>
          <w:szCs w:val="20"/>
          <w:lang w:val="bg-BG"/>
        </w:rPr>
        <w:t>I. ОБЩА ИНФОРМАЦИЯ</w:t>
      </w:r>
      <w:bookmarkEnd w:id="5"/>
    </w:p>
    <w:p w14:paraId="0A7119E1" w14:textId="77777777" w:rsidR="00B66DF8" w:rsidRPr="00B14C47" w:rsidRDefault="00B66DF8" w:rsidP="00B66DF8">
      <w:pPr>
        <w:ind w:right="-31"/>
        <w:rPr>
          <w:rFonts w:ascii="Arial" w:hAnsi="Arial" w:cs="Arial"/>
          <w:b/>
          <w:i/>
          <w:sz w:val="20"/>
        </w:rPr>
      </w:pPr>
    </w:p>
    <w:p w14:paraId="2FFA7713" w14:textId="77777777" w:rsidR="00B66DF8" w:rsidRPr="00B14C47" w:rsidRDefault="00B66DF8" w:rsidP="00B66DF8">
      <w:pPr>
        <w:ind w:right="-31"/>
        <w:rPr>
          <w:rFonts w:ascii="Arial" w:hAnsi="Arial" w:cs="Arial"/>
          <w:b/>
          <w:sz w:val="20"/>
        </w:rPr>
      </w:pPr>
    </w:p>
    <w:tbl>
      <w:tblPr>
        <w:tblW w:w="5000" w:type="pct"/>
        <w:tblLook w:val="04A0" w:firstRow="1" w:lastRow="0" w:firstColumn="1" w:lastColumn="0" w:noHBand="0" w:noVBand="1"/>
      </w:tblPr>
      <w:tblGrid>
        <w:gridCol w:w="5211"/>
        <w:gridCol w:w="4472"/>
      </w:tblGrid>
      <w:tr w:rsidR="00B66DF8" w:rsidRPr="00B14C47" w14:paraId="29337BF0" w14:textId="77777777" w:rsidTr="002540C6">
        <w:tc>
          <w:tcPr>
            <w:tcW w:w="2691" w:type="pct"/>
            <w:shd w:val="clear" w:color="auto" w:fill="auto"/>
          </w:tcPr>
          <w:p w14:paraId="36B6DF6E" w14:textId="77777777" w:rsidR="00B66DF8" w:rsidRPr="00B14C47" w:rsidRDefault="00B66DF8" w:rsidP="002540C6">
            <w:pPr>
              <w:ind w:right="-31"/>
              <w:rPr>
                <w:rFonts w:ascii="Arial" w:hAnsi="Arial" w:cs="Arial"/>
                <w:b/>
                <w:sz w:val="20"/>
              </w:rPr>
            </w:pPr>
            <w:r w:rsidRPr="00B14C47">
              <w:rPr>
                <w:rFonts w:ascii="Arial" w:hAnsi="Arial" w:cs="Arial"/>
                <w:b/>
                <w:i/>
                <w:sz w:val="20"/>
              </w:rPr>
              <w:t>Наименование на Дружеството</w:t>
            </w:r>
            <w:r w:rsidRPr="00B14C47">
              <w:rPr>
                <w:rFonts w:ascii="Arial" w:hAnsi="Arial" w:cs="Arial"/>
                <w:i/>
                <w:sz w:val="20"/>
              </w:rPr>
              <w:t>:</w:t>
            </w:r>
          </w:p>
        </w:tc>
        <w:tc>
          <w:tcPr>
            <w:tcW w:w="2309" w:type="pct"/>
            <w:shd w:val="clear" w:color="auto" w:fill="auto"/>
          </w:tcPr>
          <w:p w14:paraId="20A65C66" w14:textId="77777777" w:rsidR="00B66DF8" w:rsidRPr="00B14C47" w:rsidRDefault="00363E26" w:rsidP="002540C6">
            <w:pPr>
              <w:ind w:right="-31"/>
              <w:rPr>
                <w:rFonts w:ascii="Arial" w:hAnsi="Arial" w:cs="Arial"/>
                <w:b/>
                <w:i/>
                <w:sz w:val="20"/>
              </w:rPr>
            </w:pPr>
            <w:r w:rsidRPr="00B14C47">
              <w:rPr>
                <w:rFonts w:ascii="Arial" w:hAnsi="Arial" w:cs="Arial"/>
                <w:b/>
                <w:i/>
                <w:sz w:val="20"/>
              </w:rPr>
              <w:t>„ИНФРА ХОЛДИНГ"</w:t>
            </w:r>
            <w:r w:rsidR="005D421E" w:rsidRPr="00B14C47">
              <w:rPr>
                <w:rFonts w:ascii="Arial" w:hAnsi="Arial" w:cs="Arial"/>
                <w:b/>
                <w:i/>
                <w:sz w:val="20"/>
              </w:rPr>
              <w:t xml:space="preserve"> А</w:t>
            </w:r>
            <w:r w:rsidRPr="00B14C47">
              <w:rPr>
                <w:rFonts w:ascii="Arial" w:hAnsi="Arial" w:cs="Arial"/>
                <w:b/>
                <w:i/>
                <w:sz w:val="20"/>
              </w:rPr>
              <w:t>Д</w:t>
            </w:r>
          </w:p>
        </w:tc>
      </w:tr>
      <w:tr w:rsidR="00B66DF8" w:rsidRPr="00B14C47" w14:paraId="2C25AAC6" w14:textId="77777777" w:rsidTr="002540C6">
        <w:tc>
          <w:tcPr>
            <w:tcW w:w="2691" w:type="pct"/>
            <w:shd w:val="clear" w:color="auto" w:fill="auto"/>
          </w:tcPr>
          <w:p w14:paraId="37267995" w14:textId="77777777" w:rsidR="00B66DF8" w:rsidRPr="009F00E2" w:rsidRDefault="00B66DF8" w:rsidP="002540C6">
            <w:pPr>
              <w:ind w:right="-31"/>
              <w:rPr>
                <w:rFonts w:ascii="Arial" w:hAnsi="Arial" w:cs="Arial"/>
                <w:b/>
                <w:i/>
                <w:sz w:val="20"/>
              </w:rPr>
            </w:pPr>
          </w:p>
        </w:tc>
        <w:tc>
          <w:tcPr>
            <w:tcW w:w="2309" w:type="pct"/>
            <w:shd w:val="clear" w:color="auto" w:fill="auto"/>
          </w:tcPr>
          <w:p w14:paraId="5A132956" w14:textId="77777777" w:rsidR="00B66DF8" w:rsidRPr="00B14C47" w:rsidRDefault="00B66DF8" w:rsidP="002540C6">
            <w:pPr>
              <w:ind w:right="-31"/>
              <w:rPr>
                <w:rFonts w:ascii="Arial" w:hAnsi="Arial" w:cs="Arial"/>
                <w:b/>
                <w:i/>
                <w:sz w:val="20"/>
              </w:rPr>
            </w:pPr>
          </w:p>
        </w:tc>
      </w:tr>
      <w:tr w:rsidR="00B66DF8" w:rsidRPr="00B14C47" w14:paraId="2B6D2588" w14:textId="77777777" w:rsidTr="002540C6">
        <w:tc>
          <w:tcPr>
            <w:tcW w:w="2691" w:type="pct"/>
            <w:shd w:val="clear" w:color="auto" w:fill="auto"/>
          </w:tcPr>
          <w:p w14:paraId="3C15424D" w14:textId="77777777" w:rsidR="00B66DF8" w:rsidRPr="009F00E2" w:rsidRDefault="00B66DF8" w:rsidP="002540C6">
            <w:pPr>
              <w:ind w:right="-31"/>
              <w:rPr>
                <w:rFonts w:ascii="Arial" w:hAnsi="Arial" w:cs="Arial"/>
                <w:b/>
                <w:i/>
                <w:sz w:val="20"/>
              </w:rPr>
            </w:pPr>
          </w:p>
        </w:tc>
        <w:tc>
          <w:tcPr>
            <w:tcW w:w="2309" w:type="pct"/>
            <w:shd w:val="clear" w:color="auto" w:fill="auto"/>
          </w:tcPr>
          <w:p w14:paraId="169D4BAF" w14:textId="77777777" w:rsidR="00B66DF8" w:rsidRPr="00B14C47" w:rsidRDefault="00B66DF8" w:rsidP="002540C6">
            <w:pPr>
              <w:ind w:right="-31"/>
              <w:rPr>
                <w:rFonts w:ascii="Arial" w:hAnsi="Arial" w:cs="Arial"/>
                <w:b/>
                <w:i/>
                <w:sz w:val="20"/>
              </w:rPr>
            </w:pPr>
          </w:p>
        </w:tc>
      </w:tr>
      <w:tr w:rsidR="00B66DF8" w:rsidRPr="00B14C47" w14:paraId="661B62A8" w14:textId="77777777" w:rsidTr="002540C6">
        <w:tc>
          <w:tcPr>
            <w:tcW w:w="2691" w:type="pct"/>
            <w:shd w:val="clear" w:color="auto" w:fill="auto"/>
          </w:tcPr>
          <w:p w14:paraId="1545ABA6" w14:textId="77777777" w:rsidR="00B66DF8" w:rsidRPr="00B14C47" w:rsidRDefault="00B66DF8" w:rsidP="002540C6">
            <w:pPr>
              <w:ind w:right="-31"/>
              <w:rPr>
                <w:rFonts w:ascii="Arial" w:hAnsi="Arial" w:cs="Arial"/>
                <w:b/>
                <w:i/>
                <w:sz w:val="20"/>
              </w:rPr>
            </w:pPr>
            <w:r w:rsidRPr="00B14C47">
              <w:rPr>
                <w:rFonts w:ascii="Arial" w:hAnsi="Arial" w:cs="Arial"/>
                <w:b/>
                <w:i/>
                <w:sz w:val="20"/>
              </w:rPr>
              <w:t>Съвет на директорите</w:t>
            </w:r>
          </w:p>
          <w:p w14:paraId="2CD6BF98" w14:textId="77777777" w:rsidR="00B66DF8" w:rsidRPr="00B14C47" w:rsidRDefault="00B66DF8" w:rsidP="002540C6">
            <w:pPr>
              <w:ind w:right="-31"/>
              <w:rPr>
                <w:rFonts w:ascii="Arial" w:hAnsi="Arial" w:cs="Arial"/>
                <w:b/>
                <w:i/>
                <w:sz w:val="20"/>
              </w:rPr>
            </w:pPr>
            <w:r w:rsidRPr="00B14C47">
              <w:rPr>
                <w:rFonts w:ascii="Arial" w:hAnsi="Arial" w:cs="Arial"/>
                <w:b/>
                <w:i/>
                <w:sz w:val="20"/>
              </w:rPr>
              <w:t>Председател:</w:t>
            </w:r>
          </w:p>
          <w:p w14:paraId="4580FE37" w14:textId="77777777" w:rsidR="00B66DF8" w:rsidRPr="00B14C47" w:rsidRDefault="00B66DF8" w:rsidP="002540C6">
            <w:pPr>
              <w:ind w:right="-31"/>
              <w:rPr>
                <w:rFonts w:ascii="Arial" w:hAnsi="Arial" w:cs="Arial"/>
                <w:b/>
                <w:i/>
                <w:sz w:val="20"/>
              </w:rPr>
            </w:pPr>
          </w:p>
          <w:p w14:paraId="00A54F36" w14:textId="77777777" w:rsidR="00B66DF8" w:rsidRPr="009F00E2" w:rsidRDefault="00B66DF8" w:rsidP="002540C6">
            <w:pPr>
              <w:ind w:right="-31"/>
              <w:rPr>
                <w:rFonts w:ascii="Arial" w:hAnsi="Arial" w:cs="Arial"/>
                <w:b/>
                <w:i/>
                <w:sz w:val="20"/>
              </w:rPr>
            </w:pPr>
            <w:r w:rsidRPr="00B14C47">
              <w:rPr>
                <w:rFonts w:ascii="Arial" w:hAnsi="Arial" w:cs="Arial"/>
                <w:b/>
                <w:i/>
                <w:sz w:val="20"/>
              </w:rPr>
              <w:t>Членове:</w:t>
            </w:r>
          </w:p>
        </w:tc>
        <w:tc>
          <w:tcPr>
            <w:tcW w:w="2309" w:type="pct"/>
            <w:shd w:val="clear" w:color="auto" w:fill="auto"/>
          </w:tcPr>
          <w:p w14:paraId="60DC8C2E" w14:textId="77777777" w:rsidR="00B66DF8" w:rsidRPr="00B14C47" w:rsidRDefault="00B66DF8" w:rsidP="002540C6">
            <w:pPr>
              <w:ind w:right="-31"/>
              <w:rPr>
                <w:rFonts w:ascii="Arial" w:hAnsi="Arial" w:cs="Arial"/>
                <w:b/>
                <w:i/>
                <w:sz w:val="20"/>
              </w:rPr>
            </w:pPr>
          </w:p>
          <w:p w14:paraId="07FA9815" w14:textId="77777777" w:rsidR="00B66DF8" w:rsidRPr="00B14C47" w:rsidRDefault="00F66352" w:rsidP="002540C6">
            <w:pPr>
              <w:ind w:right="-31"/>
              <w:rPr>
                <w:rFonts w:ascii="Arial" w:hAnsi="Arial" w:cs="Arial"/>
                <w:b/>
                <w:i/>
                <w:sz w:val="20"/>
              </w:rPr>
            </w:pPr>
            <w:r w:rsidRPr="00B14C47">
              <w:rPr>
                <w:rFonts w:ascii="Arial" w:hAnsi="Arial" w:cs="Arial"/>
                <w:b/>
                <w:i/>
                <w:sz w:val="20"/>
              </w:rPr>
              <w:t xml:space="preserve">Антон Василев Божков </w:t>
            </w:r>
          </w:p>
          <w:p w14:paraId="33A914A1" w14:textId="77777777" w:rsidR="00F66352" w:rsidRPr="00B14C47" w:rsidRDefault="00F66352" w:rsidP="00F66352">
            <w:pPr>
              <w:ind w:right="-31"/>
              <w:rPr>
                <w:rFonts w:ascii="Arial" w:hAnsi="Arial" w:cs="Arial"/>
                <w:b/>
                <w:i/>
                <w:sz w:val="20"/>
              </w:rPr>
            </w:pPr>
          </w:p>
          <w:p w14:paraId="78892466" w14:textId="77777777" w:rsidR="00F66352" w:rsidRPr="00B14C47" w:rsidRDefault="00F66352" w:rsidP="00F66352">
            <w:pPr>
              <w:ind w:right="-31"/>
              <w:rPr>
                <w:rFonts w:ascii="Arial" w:hAnsi="Arial" w:cs="Arial"/>
                <w:b/>
                <w:i/>
                <w:sz w:val="20"/>
              </w:rPr>
            </w:pPr>
            <w:r w:rsidRPr="00B14C47">
              <w:rPr>
                <w:rFonts w:ascii="Arial" w:hAnsi="Arial" w:cs="Arial"/>
                <w:b/>
                <w:i/>
                <w:sz w:val="20"/>
              </w:rPr>
              <w:t>1.Татяна Христова Димитрова</w:t>
            </w:r>
          </w:p>
          <w:p w14:paraId="40465AEF" w14:textId="77777777" w:rsidR="00B66DF8" w:rsidRPr="00B14C47" w:rsidRDefault="00F66352" w:rsidP="001F2584">
            <w:pPr>
              <w:ind w:right="-31"/>
              <w:rPr>
                <w:rFonts w:ascii="Arial" w:hAnsi="Arial" w:cs="Arial"/>
                <w:b/>
                <w:i/>
                <w:sz w:val="20"/>
              </w:rPr>
            </w:pPr>
            <w:r w:rsidRPr="00B14C47">
              <w:rPr>
                <w:rFonts w:ascii="Arial" w:hAnsi="Arial" w:cs="Arial"/>
                <w:b/>
                <w:i/>
                <w:sz w:val="20"/>
              </w:rPr>
              <w:t>2.</w:t>
            </w:r>
            <w:r w:rsidR="001F2584" w:rsidRPr="00B14C47">
              <w:rPr>
                <w:rFonts w:ascii="Arial" w:hAnsi="Arial" w:cs="Arial"/>
                <w:b/>
                <w:i/>
                <w:sz w:val="20"/>
              </w:rPr>
              <w:t xml:space="preserve">Емилия Кирилова Симеонова </w:t>
            </w:r>
          </w:p>
        </w:tc>
      </w:tr>
      <w:tr w:rsidR="00B66DF8" w:rsidRPr="00B14C47" w14:paraId="1511EB25" w14:textId="77777777" w:rsidTr="002540C6">
        <w:tc>
          <w:tcPr>
            <w:tcW w:w="2691" w:type="pct"/>
            <w:shd w:val="clear" w:color="auto" w:fill="auto"/>
          </w:tcPr>
          <w:p w14:paraId="43A4AD15" w14:textId="77777777" w:rsidR="00B66DF8" w:rsidRPr="00B14C47" w:rsidRDefault="00B66DF8" w:rsidP="002540C6">
            <w:pPr>
              <w:ind w:right="-31"/>
              <w:rPr>
                <w:rFonts w:ascii="Arial" w:hAnsi="Arial" w:cs="Arial"/>
                <w:b/>
                <w:i/>
                <w:sz w:val="20"/>
              </w:rPr>
            </w:pPr>
            <w:r w:rsidRPr="00B14C47">
              <w:rPr>
                <w:rFonts w:ascii="Arial" w:hAnsi="Arial" w:cs="Arial"/>
                <w:b/>
                <w:i/>
                <w:sz w:val="20"/>
              </w:rPr>
              <w:t>Изпъ</w:t>
            </w:r>
            <w:r w:rsidR="00F66352" w:rsidRPr="00B14C47">
              <w:rPr>
                <w:rFonts w:ascii="Arial" w:hAnsi="Arial" w:cs="Arial"/>
                <w:b/>
                <w:i/>
                <w:sz w:val="20"/>
              </w:rPr>
              <w:t>лнителен директор</w:t>
            </w:r>
            <w:r w:rsidRPr="00B14C47">
              <w:rPr>
                <w:rFonts w:ascii="Arial" w:hAnsi="Arial" w:cs="Arial"/>
                <w:b/>
                <w:i/>
                <w:sz w:val="20"/>
              </w:rPr>
              <w:t>:</w:t>
            </w:r>
          </w:p>
        </w:tc>
        <w:tc>
          <w:tcPr>
            <w:tcW w:w="2309" w:type="pct"/>
            <w:shd w:val="clear" w:color="auto" w:fill="auto"/>
          </w:tcPr>
          <w:p w14:paraId="1F90E79B" w14:textId="77777777" w:rsidR="00B66DF8" w:rsidRPr="00B14C47" w:rsidRDefault="005E0F22" w:rsidP="002540C6">
            <w:pPr>
              <w:ind w:right="-31"/>
              <w:rPr>
                <w:rFonts w:ascii="Arial" w:hAnsi="Arial" w:cs="Arial"/>
                <w:b/>
                <w:i/>
                <w:sz w:val="20"/>
              </w:rPr>
            </w:pPr>
            <w:r w:rsidRPr="00B14C47">
              <w:rPr>
                <w:rFonts w:ascii="Arial" w:hAnsi="Arial" w:cs="Arial"/>
                <w:b/>
                <w:i/>
                <w:sz w:val="20"/>
              </w:rPr>
              <w:t>3.</w:t>
            </w:r>
            <w:r w:rsidR="00F66352" w:rsidRPr="00B14C47">
              <w:rPr>
                <w:rFonts w:ascii="Arial" w:hAnsi="Arial" w:cs="Arial"/>
                <w:b/>
                <w:i/>
                <w:sz w:val="20"/>
              </w:rPr>
              <w:t>Антон Василев Божков</w:t>
            </w:r>
          </w:p>
        </w:tc>
      </w:tr>
      <w:tr w:rsidR="00B66DF8" w:rsidRPr="00B14C47" w14:paraId="7297415A" w14:textId="77777777" w:rsidTr="002540C6">
        <w:tc>
          <w:tcPr>
            <w:tcW w:w="2691" w:type="pct"/>
            <w:shd w:val="clear" w:color="auto" w:fill="auto"/>
          </w:tcPr>
          <w:p w14:paraId="6B76A901" w14:textId="77777777" w:rsidR="00B66DF8" w:rsidRPr="00B14C47" w:rsidRDefault="00B66DF8" w:rsidP="002540C6">
            <w:pPr>
              <w:ind w:right="-31"/>
              <w:rPr>
                <w:rFonts w:ascii="Arial" w:hAnsi="Arial" w:cs="Arial"/>
                <w:b/>
                <w:i/>
                <w:sz w:val="20"/>
              </w:rPr>
            </w:pPr>
            <w:r w:rsidRPr="00B14C47">
              <w:rPr>
                <w:rFonts w:ascii="Arial" w:hAnsi="Arial" w:cs="Arial"/>
                <w:b/>
                <w:i/>
                <w:sz w:val="20"/>
              </w:rPr>
              <w:t>Съставител:</w:t>
            </w:r>
          </w:p>
        </w:tc>
        <w:tc>
          <w:tcPr>
            <w:tcW w:w="2309" w:type="pct"/>
            <w:shd w:val="clear" w:color="auto" w:fill="auto"/>
          </w:tcPr>
          <w:p w14:paraId="423E7EE7" w14:textId="77777777" w:rsidR="00B66DF8" w:rsidRPr="00B14C47" w:rsidRDefault="00F66352" w:rsidP="002540C6">
            <w:pPr>
              <w:ind w:right="-31"/>
              <w:rPr>
                <w:rFonts w:ascii="Arial" w:hAnsi="Arial" w:cs="Arial"/>
                <w:b/>
                <w:i/>
                <w:sz w:val="20"/>
              </w:rPr>
            </w:pPr>
            <w:r w:rsidRPr="00B14C47">
              <w:rPr>
                <w:rFonts w:ascii="Arial" w:hAnsi="Arial" w:cs="Arial"/>
                <w:b/>
                <w:i/>
                <w:sz w:val="20"/>
              </w:rPr>
              <w:t>Фисконсултинг ООД</w:t>
            </w:r>
          </w:p>
        </w:tc>
      </w:tr>
      <w:tr w:rsidR="00B66DF8" w:rsidRPr="00B14C47" w14:paraId="589BC9DD" w14:textId="77777777" w:rsidTr="002540C6">
        <w:tc>
          <w:tcPr>
            <w:tcW w:w="2691" w:type="pct"/>
            <w:shd w:val="clear" w:color="auto" w:fill="auto"/>
          </w:tcPr>
          <w:p w14:paraId="2FB306F1" w14:textId="77777777" w:rsidR="00B66DF8" w:rsidRPr="00B14C47" w:rsidRDefault="00B66DF8" w:rsidP="002540C6">
            <w:pPr>
              <w:ind w:right="-31"/>
              <w:rPr>
                <w:rFonts w:ascii="Arial" w:hAnsi="Arial" w:cs="Arial"/>
                <w:b/>
                <w:i/>
                <w:sz w:val="20"/>
              </w:rPr>
            </w:pPr>
            <w:r w:rsidRPr="00B14C47">
              <w:rPr>
                <w:rFonts w:ascii="Arial" w:hAnsi="Arial" w:cs="Arial"/>
                <w:b/>
                <w:i/>
                <w:sz w:val="20"/>
              </w:rPr>
              <w:t>Юристи:</w:t>
            </w:r>
          </w:p>
        </w:tc>
        <w:tc>
          <w:tcPr>
            <w:tcW w:w="2309" w:type="pct"/>
            <w:shd w:val="clear" w:color="auto" w:fill="auto"/>
          </w:tcPr>
          <w:p w14:paraId="021E1F1A" w14:textId="77777777" w:rsidR="00B66DF8" w:rsidRPr="00B14C47" w:rsidRDefault="00F66352" w:rsidP="002540C6">
            <w:pPr>
              <w:ind w:right="-31"/>
              <w:rPr>
                <w:rFonts w:ascii="Arial" w:hAnsi="Arial" w:cs="Arial"/>
                <w:b/>
                <w:i/>
                <w:sz w:val="20"/>
              </w:rPr>
            </w:pPr>
            <w:r w:rsidRPr="00B14C47">
              <w:rPr>
                <w:rFonts w:ascii="Arial" w:hAnsi="Arial" w:cs="Arial"/>
                <w:b/>
                <w:i/>
                <w:sz w:val="20"/>
              </w:rPr>
              <w:t>Антон Иванов Арнаудов</w:t>
            </w:r>
          </w:p>
        </w:tc>
      </w:tr>
      <w:tr w:rsidR="00B66DF8" w:rsidRPr="00B14C47" w14:paraId="1127DEB8" w14:textId="77777777" w:rsidTr="002540C6">
        <w:tc>
          <w:tcPr>
            <w:tcW w:w="2691" w:type="pct"/>
            <w:shd w:val="clear" w:color="auto" w:fill="auto"/>
          </w:tcPr>
          <w:p w14:paraId="6B9BFD93" w14:textId="77777777" w:rsidR="00B66DF8" w:rsidRPr="00B14C47" w:rsidRDefault="00B66DF8" w:rsidP="002540C6">
            <w:pPr>
              <w:ind w:right="-31"/>
              <w:rPr>
                <w:rFonts w:ascii="Arial" w:hAnsi="Arial" w:cs="Arial"/>
                <w:b/>
                <w:i/>
                <w:sz w:val="20"/>
              </w:rPr>
            </w:pPr>
            <w:r w:rsidRPr="00B14C47">
              <w:rPr>
                <w:rFonts w:ascii="Arial" w:hAnsi="Arial" w:cs="Arial"/>
                <w:b/>
                <w:i/>
                <w:sz w:val="20"/>
              </w:rPr>
              <w:t>Държава на регистрация на Дружеството:</w:t>
            </w:r>
          </w:p>
        </w:tc>
        <w:tc>
          <w:tcPr>
            <w:tcW w:w="2309" w:type="pct"/>
            <w:shd w:val="clear" w:color="auto" w:fill="auto"/>
          </w:tcPr>
          <w:p w14:paraId="5A5BDC86" w14:textId="77777777" w:rsidR="00B66DF8" w:rsidRPr="00B14C47" w:rsidRDefault="00F66352" w:rsidP="002540C6">
            <w:pPr>
              <w:ind w:right="-31"/>
              <w:rPr>
                <w:rFonts w:ascii="Arial" w:hAnsi="Arial" w:cs="Arial"/>
                <w:b/>
                <w:i/>
                <w:sz w:val="20"/>
              </w:rPr>
            </w:pPr>
            <w:r w:rsidRPr="00B14C47">
              <w:rPr>
                <w:rFonts w:ascii="Arial" w:hAnsi="Arial" w:cs="Arial"/>
                <w:b/>
                <w:i/>
                <w:sz w:val="20"/>
              </w:rPr>
              <w:t>България</w:t>
            </w:r>
          </w:p>
        </w:tc>
      </w:tr>
      <w:tr w:rsidR="00B66DF8" w:rsidRPr="00B14C47" w14:paraId="257F90E5" w14:textId="77777777" w:rsidTr="002540C6">
        <w:tc>
          <w:tcPr>
            <w:tcW w:w="2691" w:type="pct"/>
            <w:shd w:val="clear" w:color="auto" w:fill="auto"/>
          </w:tcPr>
          <w:p w14:paraId="4197EABF" w14:textId="77777777" w:rsidR="00B66DF8" w:rsidRPr="00B14C47" w:rsidRDefault="00B66DF8" w:rsidP="002540C6">
            <w:pPr>
              <w:ind w:right="-31"/>
              <w:rPr>
                <w:rFonts w:ascii="Arial" w:hAnsi="Arial" w:cs="Arial"/>
                <w:b/>
                <w:i/>
                <w:sz w:val="20"/>
              </w:rPr>
            </w:pPr>
            <w:r w:rsidRPr="00B14C47">
              <w:rPr>
                <w:rFonts w:ascii="Arial" w:hAnsi="Arial" w:cs="Arial"/>
                <w:b/>
                <w:i/>
                <w:sz w:val="20"/>
              </w:rPr>
              <w:t>Седалище и адрес на регистрация:</w:t>
            </w:r>
          </w:p>
        </w:tc>
        <w:tc>
          <w:tcPr>
            <w:tcW w:w="2309" w:type="pct"/>
            <w:shd w:val="clear" w:color="auto" w:fill="auto"/>
          </w:tcPr>
          <w:p w14:paraId="7C157A2C" w14:textId="77777777" w:rsidR="00F66352" w:rsidRPr="00B14C47" w:rsidRDefault="00F66352" w:rsidP="00F66352">
            <w:pPr>
              <w:ind w:right="-31"/>
              <w:rPr>
                <w:rFonts w:ascii="Arial" w:hAnsi="Arial" w:cs="Arial"/>
                <w:b/>
                <w:i/>
                <w:sz w:val="20"/>
              </w:rPr>
            </w:pPr>
            <w:r w:rsidRPr="00B14C47">
              <w:rPr>
                <w:rFonts w:ascii="Arial" w:hAnsi="Arial" w:cs="Arial"/>
                <w:b/>
                <w:i/>
                <w:sz w:val="20"/>
              </w:rPr>
              <w:t>гр.София,общ.Красно село,</w:t>
            </w:r>
          </w:p>
          <w:p w14:paraId="5EFCF38D" w14:textId="22CA1F0C" w:rsidR="00F66352" w:rsidRPr="00B14C47" w:rsidRDefault="00F66352" w:rsidP="00F66352">
            <w:pPr>
              <w:ind w:right="-31"/>
              <w:rPr>
                <w:rFonts w:ascii="Arial" w:hAnsi="Arial" w:cs="Arial"/>
                <w:b/>
                <w:i/>
                <w:sz w:val="20"/>
              </w:rPr>
            </w:pPr>
            <w:r w:rsidRPr="00B14C47">
              <w:rPr>
                <w:rFonts w:ascii="Arial" w:hAnsi="Arial" w:cs="Arial"/>
                <w:b/>
                <w:i/>
                <w:sz w:val="20"/>
              </w:rPr>
              <w:t xml:space="preserve">бул. Цар Борис </w:t>
            </w:r>
            <w:r w:rsidRPr="00B14C47">
              <w:rPr>
                <w:rFonts w:ascii="Arial" w:hAnsi="Arial" w:cs="Arial"/>
                <w:b/>
                <w:i/>
                <w:sz w:val="20"/>
                <w:lang w:val="en-US"/>
              </w:rPr>
              <w:t>III</w:t>
            </w:r>
            <w:r w:rsidR="004A1205">
              <w:rPr>
                <w:rFonts w:ascii="Arial" w:hAnsi="Arial" w:cs="Arial"/>
                <w:b/>
                <w:i/>
                <w:sz w:val="20"/>
              </w:rPr>
              <w:t xml:space="preserve"> </w:t>
            </w:r>
            <w:r w:rsidRPr="00B14C47">
              <w:rPr>
                <w:rFonts w:ascii="Arial" w:hAnsi="Arial" w:cs="Arial"/>
                <w:b/>
                <w:i/>
                <w:sz w:val="20"/>
              </w:rPr>
              <w:t>№126</w:t>
            </w:r>
          </w:p>
          <w:p w14:paraId="291854F2" w14:textId="77777777" w:rsidR="00B66DF8" w:rsidRPr="00B14C47" w:rsidRDefault="00B66DF8" w:rsidP="002540C6">
            <w:pPr>
              <w:ind w:right="-31"/>
              <w:rPr>
                <w:rFonts w:ascii="Arial" w:hAnsi="Arial" w:cs="Arial"/>
                <w:b/>
                <w:i/>
                <w:sz w:val="20"/>
              </w:rPr>
            </w:pPr>
          </w:p>
        </w:tc>
      </w:tr>
      <w:tr w:rsidR="00B66DF8" w:rsidRPr="00B14C47" w14:paraId="400AAEBF" w14:textId="77777777" w:rsidTr="002540C6">
        <w:tc>
          <w:tcPr>
            <w:tcW w:w="2691" w:type="pct"/>
            <w:shd w:val="clear" w:color="auto" w:fill="auto"/>
          </w:tcPr>
          <w:p w14:paraId="29E677E3" w14:textId="77777777" w:rsidR="00B66DF8" w:rsidRPr="009F00E2" w:rsidRDefault="00B66DF8" w:rsidP="002540C6">
            <w:pPr>
              <w:ind w:right="-31"/>
              <w:rPr>
                <w:rFonts w:ascii="Arial" w:hAnsi="Arial" w:cs="Arial"/>
                <w:i/>
                <w:sz w:val="20"/>
              </w:rPr>
            </w:pPr>
          </w:p>
        </w:tc>
        <w:tc>
          <w:tcPr>
            <w:tcW w:w="2309" w:type="pct"/>
            <w:shd w:val="clear" w:color="auto" w:fill="auto"/>
          </w:tcPr>
          <w:p w14:paraId="0991F903" w14:textId="77777777" w:rsidR="00B66DF8" w:rsidRPr="00B14C47" w:rsidRDefault="00B66DF8" w:rsidP="002540C6">
            <w:pPr>
              <w:ind w:right="-31"/>
              <w:rPr>
                <w:rFonts w:ascii="Arial" w:hAnsi="Arial" w:cs="Arial"/>
                <w:b/>
                <w:i/>
                <w:sz w:val="20"/>
              </w:rPr>
            </w:pPr>
          </w:p>
        </w:tc>
      </w:tr>
      <w:tr w:rsidR="00B66DF8" w:rsidRPr="00B14C47" w14:paraId="210EE56A" w14:textId="77777777" w:rsidTr="002540C6">
        <w:tc>
          <w:tcPr>
            <w:tcW w:w="2691" w:type="pct"/>
            <w:shd w:val="clear" w:color="auto" w:fill="auto"/>
          </w:tcPr>
          <w:p w14:paraId="74DEBA3D" w14:textId="77777777" w:rsidR="00B66DF8" w:rsidRPr="00B14C47" w:rsidRDefault="00B66DF8" w:rsidP="002540C6">
            <w:pPr>
              <w:ind w:right="-31"/>
              <w:rPr>
                <w:rFonts w:ascii="Arial" w:hAnsi="Arial" w:cs="Arial"/>
                <w:b/>
                <w:i/>
                <w:sz w:val="20"/>
              </w:rPr>
            </w:pPr>
            <w:r w:rsidRPr="00B14C47">
              <w:rPr>
                <w:rFonts w:ascii="Arial" w:hAnsi="Arial" w:cs="Arial"/>
                <w:b/>
                <w:i/>
                <w:sz w:val="20"/>
              </w:rPr>
              <w:t>Обслужващи банки:</w:t>
            </w:r>
          </w:p>
        </w:tc>
        <w:tc>
          <w:tcPr>
            <w:tcW w:w="2309" w:type="pct"/>
            <w:shd w:val="clear" w:color="auto" w:fill="auto"/>
          </w:tcPr>
          <w:p w14:paraId="1F9BA2BC" w14:textId="77777777" w:rsidR="00F66352" w:rsidRPr="00B14C47" w:rsidRDefault="00FE2F94" w:rsidP="00F66352">
            <w:pPr>
              <w:ind w:right="-31"/>
              <w:rPr>
                <w:rFonts w:ascii="Arial" w:hAnsi="Arial" w:cs="Arial"/>
                <w:b/>
                <w:bCs/>
                <w:i/>
                <w:sz w:val="20"/>
              </w:rPr>
            </w:pPr>
            <w:r w:rsidRPr="00B14C47">
              <w:rPr>
                <w:rFonts w:ascii="Arial" w:hAnsi="Arial" w:cs="Arial"/>
                <w:b/>
                <w:bCs/>
                <w:i/>
                <w:sz w:val="20"/>
              </w:rPr>
              <w:t xml:space="preserve">Интернешънъл </w:t>
            </w:r>
            <w:r w:rsidR="00F66352" w:rsidRPr="00B14C47">
              <w:rPr>
                <w:rFonts w:ascii="Arial" w:hAnsi="Arial" w:cs="Arial"/>
                <w:b/>
                <w:bCs/>
                <w:i/>
                <w:sz w:val="20"/>
              </w:rPr>
              <w:t>Асет Банк  АД</w:t>
            </w:r>
          </w:p>
          <w:p w14:paraId="30BEC16B" w14:textId="77777777" w:rsidR="00B66DF8" w:rsidRPr="00B14C47" w:rsidRDefault="00B66DF8" w:rsidP="002540C6">
            <w:pPr>
              <w:ind w:right="-31"/>
              <w:rPr>
                <w:rFonts w:ascii="Arial" w:hAnsi="Arial" w:cs="Arial"/>
                <w:b/>
                <w:i/>
                <w:sz w:val="20"/>
              </w:rPr>
            </w:pPr>
          </w:p>
        </w:tc>
      </w:tr>
    </w:tbl>
    <w:p w14:paraId="5383C82E" w14:textId="77777777" w:rsidR="00B66DF8" w:rsidRPr="00B14C47" w:rsidRDefault="00B66DF8" w:rsidP="00B66DF8">
      <w:pPr>
        <w:ind w:right="-1370"/>
        <w:rPr>
          <w:rFonts w:ascii="Arial" w:hAnsi="Arial" w:cs="Arial"/>
          <w:b/>
          <w:sz w:val="20"/>
        </w:rPr>
      </w:pPr>
    </w:p>
    <w:p w14:paraId="01A38127" w14:textId="58BB416F" w:rsidR="00B66DF8" w:rsidRPr="00B14C47" w:rsidRDefault="00B66DF8" w:rsidP="00B66DF8">
      <w:pPr>
        <w:ind w:right="-31"/>
        <w:rPr>
          <w:rFonts w:ascii="Arial" w:hAnsi="Arial" w:cs="Arial"/>
          <w:b/>
          <w:sz w:val="20"/>
        </w:rPr>
      </w:pPr>
      <w:r w:rsidRPr="00B14C47">
        <w:rPr>
          <w:rFonts w:ascii="Arial" w:hAnsi="Arial" w:cs="Arial"/>
          <w:b/>
          <w:sz w:val="20"/>
        </w:rPr>
        <w:t>Ф</w:t>
      </w:r>
      <w:r w:rsidR="00F66352" w:rsidRPr="00B14C47">
        <w:rPr>
          <w:rFonts w:ascii="Arial" w:hAnsi="Arial" w:cs="Arial"/>
          <w:b/>
          <w:sz w:val="20"/>
        </w:rPr>
        <w:t>инансовият отчет е</w:t>
      </w:r>
      <w:r w:rsidR="004A1205">
        <w:rPr>
          <w:rFonts w:ascii="Arial" w:hAnsi="Arial" w:cs="Arial"/>
          <w:b/>
          <w:sz w:val="20"/>
        </w:rPr>
        <w:t xml:space="preserve"> </w:t>
      </w:r>
      <w:r w:rsidR="008D54DC">
        <w:rPr>
          <w:rFonts w:ascii="Arial" w:hAnsi="Arial" w:cs="Arial"/>
          <w:b/>
          <w:sz w:val="20"/>
        </w:rPr>
        <w:t xml:space="preserve">междинен </w:t>
      </w:r>
      <w:r w:rsidR="008D54DC">
        <w:rPr>
          <w:rFonts w:ascii="Arial" w:hAnsi="Arial" w:cs="Arial"/>
          <w:b/>
          <w:sz w:val="20"/>
        </w:rPr>
        <w:t>индивидуален</w:t>
      </w:r>
      <w:r w:rsidR="005E0F22" w:rsidRPr="00B14C47">
        <w:rPr>
          <w:rFonts w:ascii="Arial" w:hAnsi="Arial" w:cs="Arial"/>
          <w:b/>
          <w:sz w:val="20"/>
        </w:rPr>
        <w:t xml:space="preserve"> </w:t>
      </w:r>
      <w:r w:rsidRPr="00B14C47">
        <w:rPr>
          <w:rFonts w:ascii="Arial" w:hAnsi="Arial" w:cs="Arial"/>
          <w:b/>
          <w:sz w:val="20"/>
        </w:rPr>
        <w:t>отчет на Дружеството.</w:t>
      </w:r>
    </w:p>
    <w:p w14:paraId="789E72FB" w14:textId="77777777" w:rsidR="00B66DF8" w:rsidRPr="00B14C47" w:rsidRDefault="00B66DF8" w:rsidP="00B66DF8">
      <w:pPr>
        <w:rPr>
          <w:rFonts w:ascii="Arial" w:hAnsi="Arial" w:cs="Arial"/>
          <w:sz w:val="20"/>
        </w:rPr>
      </w:pPr>
    </w:p>
    <w:p w14:paraId="71AE01C4" w14:textId="77777777" w:rsidR="00060BBB" w:rsidRPr="00B14C47" w:rsidRDefault="00B66DF8" w:rsidP="00060BBB">
      <w:pPr>
        <w:ind w:right="-31"/>
        <w:rPr>
          <w:rFonts w:ascii="Arial" w:hAnsi="Arial" w:cs="Arial"/>
          <w:sz w:val="20"/>
        </w:rPr>
      </w:pPr>
      <w:r w:rsidRPr="00B14C47">
        <w:rPr>
          <w:rFonts w:ascii="Arial" w:hAnsi="Arial" w:cs="Arial"/>
          <w:i/>
          <w:sz w:val="20"/>
        </w:rPr>
        <w:t xml:space="preserve">Предмет на дейност и основна дейност/и на Дружеството: </w:t>
      </w:r>
      <w:r w:rsidR="002B2B13" w:rsidRPr="00B14C47">
        <w:rPr>
          <w:rFonts w:ascii="Arial" w:hAnsi="Arial" w:cs="Arial"/>
          <w:i/>
          <w:sz w:val="20"/>
        </w:rPr>
        <w:t xml:space="preserve">Дружеството е регистрирано в България. </w:t>
      </w:r>
      <w:r w:rsidR="002B2B13" w:rsidRPr="00B14C47">
        <w:rPr>
          <w:rFonts w:ascii="Arial" w:hAnsi="Arial" w:cs="Arial"/>
          <w:sz w:val="20"/>
        </w:rPr>
        <w:t>Основната му дейност е свързана с Придобиване, управление, оценка и продажба на участия в български и чуждестранни дружества, придобиване, оценка и продажба на патенти, отстъпване на лицензии за използване на патенти на дружества, в които холдинговото дружество участва, финансиране на дружества, в които холдинговото др</w:t>
      </w:r>
      <w:r w:rsidR="00B23C5C" w:rsidRPr="00B14C47">
        <w:rPr>
          <w:rFonts w:ascii="Arial" w:hAnsi="Arial" w:cs="Arial"/>
          <w:sz w:val="20"/>
        </w:rPr>
        <w:t xml:space="preserve">ужество участва, придобиване, </w:t>
      </w:r>
      <w:r w:rsidR="002B2B13" w:rsidRPr="00B14C47">
        <w:rPr>
          <w:rFonts w:ascii="Arial" w:hAnsi="Arial" w:cs="Arial"/>
          <w:sz w:val="20"/>
        </w:rPr>
        <w:t xml:space="preserve">управление и продажба на </w:t>
      </w:r>
      <w:r w:rsidR="00060BBB" w:rsidRPr="00B14C47">
        <w:rPr>
          <w:rFonts w:ascii="Arial" w:hAnsi="Arial" w:cs="Arial"/>
          <w:sz w:val="20"/>
        </w:rPr>
        <w:t>акц</w:t>
      </w:r>
      <w:r w:rsidR="00984D04" w:rsidRPr="00B14C47">
        <w:rPr>
          <w:rFonts w:ascii="Arial" w:hAnsi="Arial" w:cs="Arial"/>
          <w:sz w:val="20"/>
        </w:rPr>
        <w:t>и</w:t>
      </w:r>
      <w:r w:rsidR="002B2B13" w:rsidRPr="00B14C47">
        <w:rPr>
          <w:rFonts w:ascii="Arial" w:hAnsi="Arial" w:cs="Arial"/>
          <w:sz w:val="20"/>
        </w:rPr>
        <w:t>и,</w:t>
      </w:r>
      <w:r w:rsidR="00060BBB" w:rsidRPr="00B14C47">
        <w:rPr>
          <w:rFonts w:ascii="Arial" w:hAnsi="Arial" w:cs="Arial"/>
          <w:sz w:val="20"/>
        </w:rPr>
        <w:t xml:space="preserve"> всякаква друга</w:t>
      </w:r>
      <w:r w:rsidR="002B2B13" w:rsidRPr="00B14C47">
        <w:rPr>
          <w:rFonts w:ascii="Arial" w:hAnsi="Arial" w:cs="Arial"/>
          <w:sz w:val="20"/>
        </w:rPr>
        <w:t xml:space="preserve"> </w:t>
      </w:r>
      <w:r w:rsidR="00060BBB" w:rsidRPr="00B14C47">
        <w:rPr>
          <w:rFonts w:ascii="Arial" w:hAnsi="Arial" w:cs="Arial"/>
          <w:sz w:val="20"/>
        </w:rPr>
        <w:t>дейност, незабранена от закона Инвестиции в дъщерни и асоциирани предприятия.</w:t>
      </w:r>
    </w:p>
    <w:p w14:paraId="3B86A7E0" w14:textId="77777777" w:rsidR="00B66DF8" w:rsidRPr="00B14C47" w:rsidRDefault="00B66DF8" w:rsidP="002B2B13">
      <w:pPr>
        <w:ind w:right="-31"/>
        <w:rPr>
          <w:rFonts w:ascii="Arial" w:hAnsi="Arial" w:cs="Arial"/>
          <w:sz w:val="20"/>
        </w:rPr>
      </w:pPr>
    </w:p>
    <w:p w14:paraId="37E316F7" w14:textId="77777777" w:rsidR="00B66DF8" w:rsidRPr="00B14C47" w:rsidRDefault="00B66DF8" w:rsidP="00B66DF8">
      <w:pPr>
        <w:rPr>
          <w:rFonts w:ascii="Arial" w:hAnsi="Arial" w:cs="Arial"/>
          <w:i/>
          <w:sz w:val="20"/>
        </w:rPr>
      </w:pPr>
      <w:r w:rsidRPr="00B14C47">
        <w:rPr>
          <w:rFonts w:ascii="Arial" w:hAnsi="Arial" w:cs="Arial"/>
          <w:i/>
          <w:sz w:val="20"/>
        </w:rPr>
        <w:t xml:space="preserve">Дружеството </w:t>
      </w:r>
      <w:r w:rsidR="00F66352" w:rsidRPr="00B14C47">
        <w:rPr>
          <w:rFonts w:ascii="Arial" w:hAnsi="Arial" w:cs="Arial"/>
          <w:i/>
          <w:sz w:val="20"/>
        </w:rPr>
        <w:t xml:space="preserve">е </w:t>
      </w:r>
      <w:r w:rsidRPr="00B14C47">
        <w:rPr>
          <w:rFonts w:ascii="Arial" w:hAnsi="Arial" w:cs="Arial"/>
          <w:i/>
          <w:sz w:val="20"/>
        </w:rPr>
        <w:t>публично дружество по смисъла на ЗППЦК.</w:t>
      </w:r>
    </w:p>
    <w:p w14:paraId="1DF4CC5D" w14:textId="77777777" w:rsidR="00B66DF8" w:rsidRPr="00B14C47" w:rsidRDefault="00B66DF8" w:rsidP="00B66DF8">
      <w:pPr>
        <w:rPr>
          <w:rFonts w:ascii="Arial" w:hAnsi="Arial" w:cs="Arial"/>
          <w:sz w:val="20"/>
        </w:rPr>
      </w:pPr>
    </w:p>
    <w:p w14:paraId="5350BBF7" w14:textId="5B370A67" w:rsidR="00B66DF8" w:rsidRPr="00B14C47" w:rsidRDefault="00B66DF8" w:rsidP="00B66DF8">
      <w:pPr>
        <w:ind w:right="-31"/>
        <w:rPr>
          <w:rFonts w:ascii="Arial" w:hAnsi="Arial" w:cs="Arial"/>
          <w:sz w:val="20"/>
        </w:rPr>
      </w:pPr>
      <w:r w:rsidRPr="00B14C47">
        <w:rPr>
          <w:rFonts w:ascii="Arial" w:hAnsi="Arial" w:cs="Arial"/>
          <w:i/>
          <w:sz w:val="20"/>
        </w:rPr>
        <w:t xml:space="preserve">Дата на </w:t>
      </w:r>
      <w:r w:rsidR="00A80B93">
        <w:rPr>
          <w:rFonts w:ascii="Arial" w:hAnsi="Arial" w:cs="Arial"/>
          <w:i/>
          <w:sz w:val="20"/>
        </w:rPr>
        <w:t>междинния</w:t>
      </w:r>
      <w:r w:rsidR="00B917D2" w:rsidRPr="00B14C47">
        <w:rPr>
          <w:rFonts w:ascii="Arial" w:hAnsi="Arial" w:cs="Arial"/>
          <w:i/>
          <w:sz w:val="20"/>
        </w:rPr>
        <w:t xml:space="preserve"> </w:t>
      </w:r>
      <w:r w:rsidRPr="00B14C47">
        <w:rPr>
          <w:rFonts w:ascii="Arial" w:hAnsi="Arial" w:cs="Arial"/>
          <w:i/>
          <w:sz w:val="20"/>
        </w:rPr>
        <w:t>финансов отчет:</w:t>
      </w:r>
      <w:r w:rsidRPr="00B14C47">
        <w:rPr>
          <w:rFonts w:ascii="Arial" w:hAnsi="Arial" w:cs="Arial"/>
          <w:sz w:val="20"/>
        </w:rPr>
        <w:t xml:space="preserve"> </w:t>
      </w:r>
      <w:r w:rsidR="0046182B">
        <w:rPr>
          <w:rFonts w:ascii="Arial" w:hAnsi="Arial" w:cs="Arial"/>
          <w:sz w:val="20"/>
        </w:rPr>
        <w:t>30</w:t>
      </w:r>
      <w:r w:rsidRPr="00B14C47">
        <w:rPr>
          <w:rFonts w:ascii="Arial" w:hAnsi="Arial" w:cs="Arial"/>
          <w:sz w:val="20"/>
        </w:rPr>
        <w:t>.</w:t>
      </w:r>
      <w:r w:rsidR="0046182B">
        <w:rPr>
          <w:rFonts w:ascii="Arial" w:hAnsi="Arial" w:cs="Arial"/>
          <w:sz w:val="20"/>
        </w:rPr>
        <w:t>06</w:t>
      </w:r>
      <w:r w:rsidRPr="00B14C47">
        <w:rPr>
          <w:rFonts w:ascii="Arial" w:hAnsi="Arial" w:cs="Arial"/>
          <w:sz w:val="20"/>
        </w:rPr>
        <w:t>.</w:t>
      </w:r>
      <w:r w:rsidR="003465FA" w:rsidRPr="00B14C47">
        <w:rPr>
          <w:rFonts w:ascii="Arial" w:hAnsi="Arial" w:cs="Arial"/>
          <w:sz w:val="20"/>
        </w:rPr>
        <w:t>20</w:t>
      </w:r>
      <w:r w:rsidR="00DB56EE" w:rsidRPr="00B14C47">
        <w:rPr>
          <w:rFonts w:ascii="Arial" w:hAnsi="Arial" w:cs="Arial"/>
          <w:sz w:val="20"/>
        </w:rPr>
        <w:t>2</w:t>
      </w:r>
      <w:r w:rsidR="00A80B93">
        <w:rPr>
          <w:rFonts w:ascii="Arial" w:hAnsi="Arial" w:cs="Arial"/>
          <w:sz w:val="20"/>
        </w:rPr>
        <w:t>4</w:t>
      </w:r>
      <w:r w:rsidR="008D54DC">
        <w:rPr>
          <w:rFonts w:ascii="Arial" w:hAnsi="Arial" w:cs="Arial"/>
          <w:sz w:val="20"/>
        </w:rPr>
        <w:t xml:space="preserve"> </w:t>
      </w:r>
      <w:r w:rsidR="003465FA" w:rsidRPr="00B14C47">
        <w:rPr>
          <w:rFonts w:ascii="Arial" w:hAnsi="Arial" w:cs="Arial"/>
          <w:sz w:val="20"/>
        </w:rPr>
        <w:t>г</w:t>
      </w:r>
      <w:r w:rsidRPr="00B14C47">
        <w:rPr>
          <w:rFonts w:ascii="Arial" w:hAnsi="Arial" w:cs="Arial"/>
          <w:sz w:val="20"/>
        </w:rPr>
        <w:t xml:space="preserve">. </w:t>
      </w:r>
    </w:p>
    <w:p w14:paraId="5B47C4B3" w14:textId="77777777" w:rsidR="00B66DF8" w:rsidRPr="00B14C47" w:rsidRDefault="00B66DF8" w:rsidP="00B66DF8">
      <w:pPr>
        <w:ind w:right="-31"/>
        <w:rPr>
          <w:rFonts w:ascii="Arial" w:hAnsi="Arial" w:cs="Arial"/>
          <w:i/>
          <w:sz w:val="20"/>
        </w:rPr>
      </w:pPr>
    </w:p>
    <w:p w14:paraId="6B51FC4A" w14:textId="62686D54" w:rsidR="00B66DF8" w:rsidRPr="00B14C47" w:rsidRDefault="00B66DF8" w:rsidP="00B66DF8">
      <w:pPr>
        <w:pStyle w:val="BodyTextIndent"/>
        <w:spacing w:before="0"/>
        <w:ind w:left="0" w:right="-31"/>
        <w:rPr>
          <w:rFonts w:ascii="Arial" w:hAnsi="Arial" w:cs="Arial"/>
          <w:sz w:val="20"/>
          <w:szCs w:val="20"/>
        </w:rPr>
      </w:pPr>
      <w:r w:rsidRPr="00B14C47">
        <w:rPr>
          <w:rFonts w:ascii="Arial" w:hAnsi="Arial" w:cs="Arial"/>
          <w:i/>
          <w:sz w:val="20"/>
          <w:szCs w:val="20"/>
        </w:rPr>
        <w:t xml:space="preserve">Текущ период: </w:t>
      </w:r>
      <w:r w:rsidRPr="00B14C47">
        <w:rPr>
          <w:rFonts w:ascii="Arial" w:hAnsi="Arial" w:cs="Arial"/>
          <w:sz w:val="20"/>
          <w:szCs w:val="20"/>
        </w:rPr>
        <w:t>годината, започваща на 01.01.</w:t>
      </w:r>
      <w:r w:rsidR="003465FA" w:rsidRPr="00B14C47">
        <w:rPr>
          <w:rFonts w:ascii="Arial" w:hAnsi="Arial" w:cs="Arial"/>
          <w:sz w:val="20"/>
          <w:szCs w:val="20"/>
        </w:rPr>
        <w:t>20</w:t>
      </w:r>
      <w:r w:rsidR="00DB56EE" w:rsidRPr="00B14C47">
        <w:rPr>
          <w:rFonts w:ascii="Arial" w:hAnsi="Arial" w:cs="Arial"/>
          <w:sz w:val="20"/>
          <w:szCs w:val="20"/>
        </w:rPr>
        <w:t>2</w:t>
      </w:r>
      <w:r w:rsidR="00A80B93">
        <w:rPr>
          <w:rFonts w:ascii="Arial" w:hAnsi="Arial" w:cs="Arial"/>
          <w:sz w:val="20"/>
          <w:szCs w:val="20"/>
        </w:rPr>
        <w:t>4</w:t>
      </w:r>
      <w:r w:rsidR="008D54DC">
        <w:rPr>
          <w:rFonts w:ascii="Arial" w:hAnsi="Arial" w:cs="Arial"/>
          <w:sz w:val="20"/>
          <w:szCs w:val="20"/>
        </w:rPr>
        <w:t xml:space="preserve"> </w:t>
      </w:r>
      <w:r w:rsidR="003465FA" w:rsidRPr="00B14C47">
        <w:rPr>
          <w:rFonts w:ascii="Arial" w:hAnsi="Arial" w:cs="Arial"/>
          <w:sz w:val="20"/>
          <w:szCs w:val="20"/>
        </w:rPr>
        <w:t>г</w:t>
      </w:r>
      <w:r w:rsidRPr="00B14C47">
        <w:rPr>
          <w:rFonts w:ascii="Arial" w:hAnsi="Arial" w:cs="Arial"/>
          <w:sz w:val="20"/>
          <w:szCs w:val="20"/>
        </w:rPr>
        <w:t>. и завършваща на 3</w:t>
      </w:r>
      <w:r w:rsidR="0046182B">
        <w:rPr>
          <w:rFonts w:ascii="Arial" w:hAnsi="Arial" w:cs="Arial"/>
          <w:sz w:val="20"/>
          <w:szCs w:val="20"/>
        </w:rPr>
        <w:t>0</w:t>
      </w:r>
      <w:r w:rsidRPr="00B14C47">
        <w:rPr>
          <w:rFonts w:ascii="Arial" w:hAnsi="Arial" w:cs="Arial"/>
          <w:sz w:val="20"/>
          <w:szCs w:val="20"/>
        </w:rPr>
        <w:t>.</w:t>
      </w:r>
      <w:r w:rsidR="0046182B">
        <w:rPr>
          <w:rFonts w:ascii="Arial" w:hAnsi="Arial" w:cs="Arial"/>
          <w:sz w:val="20"/>
          <w:szCs w:val="20"/>
        </w:rPr>
        <w:t>06</w:t>
      </w:r>
      <w:r w:rsidRPr="00B14C47">
        <w:rPr>
          <w:rFonts w:ascii="Arial" w:hAnsi="Arial" w:cs="Arial"/>
          <w:sz w:val="20"/>
          <w:szCs w:val="20"/>
        </w:rPr>
        <w:t>.</w:t>
      </w:r>
      <w:r w:rsidR="003465FA" w:rsidRPr="00B14C47">
        <w:rPr>
          <w:rFonts w:ascii="Arial" w:hAnsi="Arial" w:cs="Arial"/>
          <w:sz w:val="20"/>
          <w:szCs w:val="20"/>
        </w:rPr>
        <w:t>20</w:t>
      </w:r>
      <w:r w:rsidR="00DB56EE" w:rsidRPr="00B14C47">
        <w:rPr>
          <w:rFonts w:ascii="Arial" w:hAnsi="Arial" w:cs="Arial"/>
          <w:sz w:val="20"/>
          <w:szCs w:val="20"/>
        </w:rPr>
        <w:t>2</w:t>
      </w:r>
      <w:r w:rsidR="00F06B46">
        <w:rPr>
          <w:rFonts w:ascii="Arial" w:hAnsi="Arial" w:cs="Arial"/>
          <w:sz w:val="20"/>
          <w:szCs w:val="20"/>
        </w:rPr>
        <w:t>4</w:t>
      </w:r>
      <w:r w:rsidR="008D54DC">
        <w:rPr>
          <w:rFonts w:ascii="Arial" w:hAnsi="Arial" w:cs="Arial"/>
          <w:sz w:val="20"/>
          <w:szCs w:val="20"/>
        </w:rPr>
        <w:t xml:space="preserve"> </w:t>
      </w:r>
      <w:r w:rsidR="003465FA" w:rsidRPr="00B14C47">
        <w:rPr>
          <w:rFonts w:ascii="Arial" w:hAnsi="Arial" w:cs="Arial"/>
          <w:sz w:val="20"/>
          <w:szCs w:val="20"/>
        </w:rPr>
        <w:t>г</w:t>
      </w:r>
      <w:r w:rsidRPr="00B14C47">
        <w:rPr>
          <w:rFonts w:ascii="Arial" w:hAnsi="Arial" w:cs="Arial"/>
          <w:sz w:val="20"/>
          <w:szCs w:val="20"/>
        </w:rPr>
        <w:t xml:space="preserve">. </w:t>
      </w:r>
    </w:p>
    <w:p w14:paraId="434886FD" w14:textId="77777777" w:rsidR="00B66DF8" w:rsidRPr="00B14C47" w:rsidRDefault="00B66DF8" w:rsidP="00B66DF8">
      <w:pPr>
        <w:pStyle w:val="BodyTextIndent"/>
        <w:spacing w:before="0"/>
        <w:ind w:left="0" w:right="-31"/>
        <w:rPr>
          <w:rFonts w:ascii="Arial" w:hAnsi="Arial" w:cs="Arial"/>
          <w:i/>
          <w:sz w:val="20"/>
          <w:szCs w:val="20"/>
        </w:rPr>
      </w:pPr>
    </w:p>
    <w:p w14:paraId="66FA6C86" w14:textId="61C2BFD6" w:rsidR="005F4133" w:rsidRPr="005F4133" w:rsidRDefault="00B66DF8" w:rsidP="005F4133">
      <w:pPr>
        <w:pStyle w:val="BodyTextIndent"/>
        <w:spacing w:before="0"/>
        <w:ind w:left="0" w:right="-31"/>
        <w:rPr>
          <w:rFonts w:ascii="Arial" w:hAnsi="Arial" w:cs="Arial"/>
          <w:sz w:val="20"/>
        </w:rPr>
      </w:pPr>
      <w:r w:rsidRPr="00B14C47">
        <w:rPr>
          <w:rFonts w:ascii="Arial" w:hAnsi="Arial" w:cs="Arial"/>
          <w:i/>
          <w:sz w:val="20"/>
          <w:szCs w:val="20"/>
        </w:rPr>
        <w:t xml:space="preserve">Предходен период: </w:t>
      </w:r>
      <w:r w:rsidR="005F4133" w:rsidRPr="005F4133">
        <w:rPr>
          <w:rFonts w:ascii="Arial" w:hAnsi="Arial" w:cs="Arial"/>
          <w:sz w:val="20"/>
        </w:rPr>
        <w:t>годината, започваща на 01.01.2023г. и завършваща на 31.12.2023</w:t>
      </w:r>
      <w:r w:rsidR="008D54DC">
        <w:rPr>
          <w:rFonts w:ascii="Arial" w:hAnsi="Arial" w:cs="Arial"/>
          <w:sz w:val="20"/>
        </w:rPr>
        <w:t xml:space="preserve"> </w:t>
      </w:r>
      <w:r w:rsidR="005F4133" w:rsidRPr="005F4133">
        <w:rPr>
          <w:rFonts w:ascii="Arial" w:hAnsi="Arial" w:cs="Arial"/>
          <w:sz w:val="20"/>
        </w:rPr>
        <w:t xml:space="preserve">г. за баланс и собствен </w:t>
      </w:r>
      <w:r w:rsidR="0046182B">
        <w:rPr>
          <w:rFonts w:ascii="Arial" w:hAnsi="Arial" w:cs="Arial"/>
          <w:sz w:val="20"/>
        </w:rPr>
        <w:t>капитал и период 01.01.2023</w:t>
      </w:r>
      <w:r w:rsidR="008D54DC">
        <w:rPr>
          <w:rFonts w:ascii="Arial" w:hAnsi="Arial" w:cs="Arial"/>
          <w:sz w:val="20"/>
        </w:rPr>
        <w:t xml:space="preserve"> </w:t>
      </w:r>
      <w:r w:rsidR="0046182B">
        <w:rPr>
          <w:rFonts w:ascii="Arial" w:hAnsi="Arial" w:cs="Arial"/>
          <w:sz w:val="20"/>
        </w:rPr>
        <w:t>г</w:t>
      </w:r>
      <w:r w:rsidR="008D54DC">
        <w:rPr>
          <w:rFonts w:ascii="Arial" w:hAnsi="Arial" w:cs="Arial"/>
          <w:sz w:val="20"/>
        </w:rPr>
        <w:t>.</w:t>
      </w:r>
      <w:r w:rsidR="00EE3535">
        <w:rPr>
          <w:rFonts w:ascii="Arial" w:hAnsi="Arial" w:cs="Arial"/>
          <w:sz w:val="20"/>
        </w:rPr>
        <w:t xml:space="preserve"> </w:t>
      </w:r>
      <w:r w:rsidR="0046182B">
        <w:rPr>
          <w:rFonts w:ascii="Arial" w:hAnsi="Arial" w:cs="Arial"/>
          <w:sz w:val="20"/>
        </w:rPr>
        <w:t xml:space="preserve"> -30.06</w:t>
      </w:r>
      <w:r w:rsidR="005F4133" w:rsidRPr="005F4133">
        <w:rPr>
          <w:rFonts w:ascii="Arial" w:hAnsi="Arial" w:cs="Arial"/>
          <w:sz w:val="20"/>
        </w:rPr>
        <w:t>.2023</w:t>
      </w:r>
      <w:r w:rsidR="008D54DC">
        <w:rPr>
          <w:rFonts w:ascii="Arial" w:hAnsi="Arial" w:cs="Arial"/>
          <w:sz w:val="20"/>
        </w:rPr>
        <w:t xml:space="preserve"> </w:t>
      </w:r>
      <w:r w:rsidR="005F4133" w:rsidRPr="005F4133">
        <w:rPr>
          <w:rFonts w:ascii="Arial" w:hAnsi="Arial" w:cs="Arial"/>
          <w:sz w:val="20"/>
        </w:rPr>
        <w:t>г</w:t>
      </w:r>
      <w:r w:rsidR="008D54DC">
        <w:rPr>
          <w:rFonts w:ascii="Arial" w:hAnsi="Arial" w:cs="Arial"/>
          <w:sz w:val="20"/>
        </w:rPr>
        <w:t>.</w:t>
      </w:r>
      <w:r w:rsidR="005F4133" w:rsidRPr="005F4133">
        <w:rPr>
          <w:rFonts w:ascii="Arial" w:hAnsi="Arial" w:cs="Arial"/>
          <w:sz w:val="20"/>
        </w:rPr>
        <w:t xml:space="preserve"> за ОПР и паричен поток. </w:t>
      </w:r>
    </w:p>
    <w:p w14:paraId="5C88BA26" w14:textId="4CB215C8" w:rsidR="00B66DF8" w:rsidRPr="00B14C47" w:rsidRDefault="00B66DF8" w:rsidP="005F4133">
      <w:pPr>
        <w:pStyle w:val="BodyTextIndent"/>
        <w:spacing w:before="0"/>
        <w:ind w:left="0" w:right="-31"/>
        <w:rPr>
          <w:rFonts w:ascii="Arial" w:hAnsi="Arial" w:cs="Arial"/>
          <w:i/>
          <w:sz w:val="20"/>
        </w:rPr>
      </w:pPr>
    </w:p>
    <w:p w14:paraId="045A1EFF" w14:textId="518616CC" w:rsidR="00B66DF8" w:rsidRPr="0067669F" w:rsidRDefault="00B66DF8" w:rsidP="00B66DF8">
      <w:pPr>
        <w:ind w:right="-31"/>
        <w:rPr>
          <w:rFonts w:ascii="Arial" w:hAnsi="Arial" w:cs="Arial"/>
          <w:i/>
          <w:sz w:val="20"/>
        </w:rPr>
      </w:pPr>
      <w:r w:rsidRPr="00B14C47">
        <w:rPr>
          <w:rFonts w:ascii="Arial" w:hAnsi="Arial" w:cs="Arial"/>
          <w:i/>
          <w:sz w:val="20"/>
        </w:rPr>
        <w:t xml:space="preserve">Дата на одобрение на </w:t>
      </w:r>
      <w:r w:rsidR="00A80B93">
        <w:rPr>
          <w:rFonts w:ascii="Arial" w:hAnsi="Arial" w:cs="Arial"/>
          <w:i/>
          <w:sz w:val="20"/>
        </w:rPr>
        <w:t>междинния</w:t>
      </w:r>
      <w:r w:rsidR="00A80B93" w:rsidRPr="00B14C47">
        <w:rPr>
          <w:rFonts w:ascii="Arial" w:hAnsi="Arial" w:cs="Arial"/>
          <w:i/>
          <w:sz w:val="20"/>
        </w:rPr>
        <w:t xml:space="preserve"> финансов отчет</w:t>
      </w:r>
      <w:r w:rsidRPr="0067669F">
        <w:rPr>
          <w:rFonts w:ascii="Arial" w:hAnsi="Arial" w:cs="Arial"/>
          <w:i/>
          <w:sz w:val="20"/>
        </w:rPr>
        <w:t xml:space="preserve">: </w:t>
      </w:r>
      <w:r w:rsidR="00806F20" w:rsidRPr="0067669F">
        <w:rPr>
          <w:rFonts w:ascii="Arial" w:hAnsi="Arial" w:cs="Arial"/>
          <w:i/>
          <w:sz w:val="20"/>
          <w:lang w:val="en-US"/>
        </w:rPr>
        <w:t>18</w:t>
      </w:r>
      <w:r w:rsidR="009B5795" w:rsidRPr="0067669F">
        <w:rPr>
          <w:rFonts w:ascii="Arial" w:hAnsi="Arial" w:cs="Arial"/>
          <w:i/>
          <w:sz w:val="20"/>
        </w:rPr>
        <w:t>.</w:t>
      </w:r>
      <w:r w:rsidR="00D635E3" w:rsidRPr="0067669F">
        <w:rPr>
          <w:rFonts w:ascii="Arial" w:hAnsi="Arial" w:cs="Arial"/>
          <w:i/>
          <w:sz w:val="20"/>
        </w:rPr>
        <w:t>0</w:t>
      </w:r>
      <w:r w:rsidR="0046182B" w:rsidRPr="0067669F">
        <w:rPr>
          <w:rFonts w:ascii="Arial" w:hAnsi="Arial" w:cs="Arial"/>
          <w:i/>
          <w:sz w:val="20"/>
        </w:rPr>
        <w:t>7</w:t>
      </w:r>
      <w:r w:rsidR="009B5795" w:rsidRPr="0067669F">
        <w:rPr>
          <w:rFonts w:ascii="Arial" w:hAnsi="Arial" w:cs="Arial"/>
          <w:i/>
          <w:sz w:val="20"/>
        </w:rPr>
        <w:t>.20</w:t>
      </w:r>
      <w:r w:rsidR="00DB56EE" w:rsidRPr="0067669F">
        <w:rPr>
          <w:rFonts w:ascii="Arial" w:hAnsi="Arial" w:cs="Arial"/>
          <w:i/>
          <w:sz w:val="20"/>
        </w:rPr>
        <w:t>2</w:t>
      </w:r>
      <w:r w:rsidR="008056B7" w:rsidRPr="0067669F">
        <w:rPr>
          <w:rFonts w:ascii="Arial" w:hAnsi="Arial" w:cs="Arial"/>
          <w:i/>
          <w:sz w:val="20"/>
        </w:rPr>
        <w:t>4</w:t>
      </w:r>
      <w:r w:rsidR="003F0CE5">
        <w:rPr>
          <w:rFonts w:ascii="Arial" w:hAnsi="Arial" w:cs="Arial"/>
          <w:i/>
          <w:sz w:val="20"/>
        </w:rPr>
        <w:t xml:space="preserve"> </w:t>
      </w:r>
      <w:r w:rsidR="009B5795" w:rsidRPr="0067669F">
        <w:rPr>
          <w:rFonts w:ascii="Arial" w:hAnsi="Arial" w:cs="Arial"/>
          <w:i/>
          <w:sz w:val="20"/>
        </w:rPr>
        <w:t>г</w:t>
      </w:r>
      <w:r w:rsidR="00C13396" w:rsidRPr="0067669F">
        <w:rPr>
          <w:rFonts w:ascii="Arial" w:hAnsi="Arial" w:cs="Arial"/>
          <w:i/>
          <w:sz w:val="20"/>
        </w:rPr>
        <w:t>.</w:t>
      </w:r>
    </w:p>
    <w:p w14:paraId="1063D24A" w14:textId="77777777" w:rsidR="00B66DF8" w:rsidRPr="0067669F" w:rsidRDefault="00B66DF8" w:rsidP="00B66DF8">
      <w:pPr>
        <w:ind w:right="-31"/>
        <w:rPr>
          <w:rFonts w:ascii="Arial" w:hAnsi="Arial" w:cs="Arial"/>
          <w:i/>
          <w:sz w:val="20"/>
        </w:rPr>
      </w:pPr>
    </w:p>
    <w:p w14:paraId="60871674" w14:textId="20257E8E" w:rsidR="00B66DF8" w:rsidRPr="00B14C47" w:rsidRDefault="00B66DF8" w:rsidP="009B5795">
      <w:pPr>
        <w:ind w:right="-31"/>
        <w:rPr>
          <w:rFonts w:ascii="Arial" w:hAnsi="Arial" w:cs="Arial"/>
          <w:sz w:val="20"/>
        </w:rPr>
      </w:pPr>
      <w:r w:rsidRPr="0067669F">
        <w:rPr>
          <w:rFonts w:ascii="Arial" w:hAnsi="Arial" w:cs="Arial"/>
          <w:i/>
          <w:sz w:val="20"/>
        </w:rPr>
        <w:t xml:space="preserve">Орган одобрил </w:t>
      </w:r>
      <w:r w:rsidR="005D3B48" w:rsidRPr="0067669F">
        <w:rPr>
          <w:rFonts w:ascii="Arial" w:hAnsi="Arial" w:cs="Arial"/>
          <w:i/>
          <w:sz w:val="20"/>
        </w:rPr>
        <w:t xml:space="preserve">индивидуалния </w:t>
      </w:r>
      <w:r w:rsidRPr="0067669F">
        <w:rPr>
          <w:rFonts w:ascii="Arial" w:hAnsi="Arial" w:cs="Arial"/>
          <w:i/>
          <w:sz w:val="20"/>
        </w:rPr>
        <w:t>финансов отчет:</w:t>
      </w:r>
      <w:r w:rsidRPr="0067669F">
        <w:rPr>
          <w:rFonts w:ascii="Arial" w:hAnsi="Arial" w:cs="Arial"/>
          <w:sz w:val="20"/>
        </w:rPr>
        <w:t xml:space="preserve"> Съвет на директорите, чрез решение вписано в протокол от </w:t>
      </w:r>
      <w:r w:rsidR="00806F20" w:rsidRPr="0067669F">
        <w:rPr>
          <w:rFonts w:ascii="Arial" w:hAnsi="Arial" w:cs="Arial"/>
          <w:sz w:val="20"/>
          <w:lang w:val="en-US"/>
        </w:rPr>
        <w:t>18</w:t>
      </w:r>
      <w:r w:rsidR="009B5795" w:rsidRPr="0067669F">
        <w:rPr>
          <w:rFonts w:ascii="Arial" w:hAnsi="Arial" w:cs="Arial"/>
          <w:sz w:val="20"/>
        </w:rPr>
        <w:t>.</w:t>
      </w:r>
      <w:r w:rsidR="00D635E3" w:rsidRPr="0067669F">
        <w:rPr>
          <w:rFonts w:ascii="Arial" w:hAnsi="Arial" w:cs="Arial"/>
          <w:sz w:val="20"/>
        </w:rPr>
        <w:t>0</w:t>
      </w:r>
      <w:r w:rsidR="0046182B" w:rsidRPr="0067669F">
        <w:rPr>
          <w:rFonts w:ascii="Arial" w:hAnsi="Arial" w:cs="Arial"/>
          <w:sz w:val="20"/>
        </w:rPr>
        <w:t>7</w:t>
      </w:r>
      <w:r w:rsidR="009B5795" w:rsidRPr="0067669F">
        <w:rPr>
          <w:rFonts w:ascii="Arial" w:hAnsi="Arial" w:cs="Arial"/>
          <w:sz w:val="20"/>
        </w:rPr>
        <w:t>.20</w:t>
      </w:r>
      <w:r w:rsidR="00791666" w:rsidRPr="0067669F">
        <w:rPr>
          <w:rFonts w:ascii="Arial" w:hAnsi="Arial" w:cs="Arial"/>
          <w:sz w:val="20"/>
        </w:rPr>
        <w:t>2</w:t>
      </w:r>
      <w:r w:rsidR="008056B7" w:rsidRPr="0067669F">
        <w:rPr>
          <w:rFonts w:ascii="Arial" w:hAnsi="Arial" w:cs="Arial"/>
          <w:sz w:val="20"/>
        </w:rPr>
        <w:t>4</w:t>
      </w:r>
      <w:r w:rsidR="003F0CE5">
        <w:rPr>
          <w:rFonts w:ascii="Arial" w:hAnsi="Arial" w:cs="Arial"/>
          <w:sz w:val="20"/>
        </w:rPr>
        <w:t xml:space="preserve"> </w:t>
      </w:r>
      <w:r w:rsidR="00791666" w:rsidRPr="0067669F">
        <w:rPr>
          <w:rFonts w:ascii="Arial" w:hAnsi="Arial" w:cs="Arial"/>
          <w:sz w:val="20"/>
        </w:rPr>
        <w:t>г</w:t>
      </w:r>
      <w:r w:rsidR="00C13396" w:rsidRPr="0067669F">
        <w:rPr>
          <w:rFonts w:ascii="Arial" w:hAnsi="Arial" w:cs="Arial"/>
          <w:sz w:val="20"/>
        </w:rPr>
        <w:t>.</w:t>
      </w:r>
    </w:p>
    <w:p w14:paraId="39755B79" w14:textId="77777777" w:rsidR="005D3B48" w:rsidRPr="00B14C47" w:rsidRDefault="005D3B48" w:rsidP="00B66DF8">
      <w:pPr>
        <w:ind w:right="-1370"/>
        <w:rPr>
          <w:rFonts w:ascii="Arial" w:hAnsi="Arial" w:cs="Arial"/>
          <w:b/>
          <w:snapToGrid w:val="0"/>
          <w:sz w:val="20"/>
        </w:rPr>
      </w:pPr>
    </w:p>
    <w:p w14:paraId="66430A0B" w14:textId="77777777" w:rsidR="00984D04" w:rsidRPr="00B14C47" w:rsidRDefault="00984D04" w:rsidP="00B66DF8">
      <w:pPr>
        <w:ind w:right="-1370"/>
        <w:rPr>
          <w:rFonts w:ascii="Arial" w:hAnsi="Arial" w:cs="Arial"/>
          <w:b/>
          <w:snapToGrid w:val="0"/>
          <w:sz w:val="20"/>
        </w:rPr>
      </w:pPr>
    </w:p>
    <w:p w14:paraId="34E54713" w14:textId="77777777" w:rsidR="00984D04" w:rsidRPr="00B14C47" w:rsidRDefault="00984D04" w:rsidP="00B66DF8">
      <w:pPr>
        <w:ind w:right="-1370"/>
        <w:rPr>
          <w:rFonts w:ascii="Arial" w:hAnsi="Arial" w:cs="Arial"/>
          <w:b/>
          <w:snapToGrid w:val="0"/>
          <w:sz w:val="20"/>
        </w:rPr>
      </w:pPr>
    </w:p>
    <w:p w14:paraId="5AE48023" w14:textId="77777777" w:rsidR="005D3B48" w:rsidRPr="00B14C47" w:rsidRDefault="005D3B48" w:rsidP="005E0F22">
      <w:pPr>
        <w:pStyle w:val="Heading5"/>
        <w:rPr>
          <w:lang w:val="bg-BG"/>
        </w:rPr>
      </w:pPr>
    </w:p>
    <w:p w14:paraId="0B14AF8F" w14:textId="77777777" w:rsidR="00B66DF8" w:rsidRPr="00B14C47" w:rsidRDefault="00B66DF8" w:rsidP="00B66DF8">
      <w:pPr>
        <w:ind w:right="-1370"/>
        <w:rPr>
          <w:rFonts w:ascii="Arial" w:hAnsi="Arial" w:cs="Arial"/>
          <w:b/>
          <w:snapToGrid w:val="0"/>
          <w:sz w:val="20"/>
        </w:rPr>
      </w:pPr>
      <w:r w:rsidRPr="00B14C47">
        <w:rPr>
          <w:rFonts w:ascii="Arial" w:hAnsi="Arial" w:cs="Arial"/>
          <w:b/>
          <w:snapToGrid w:val="0"/>
          <w:sz w:val="20"/>
        </w:rPr>
        <w:t>Структура на капитала</w:t>
      </w:r>
    </w:p>
    <w:p w14:paraId="7BE08732" w14:textId="6FAF7296" w:rsidR="00A80B93" w:rsidRPr="00B14C47" w:rsidRDefault="00485C59" w:rsidP="00485C59">
      <w:pPr>
        <w:rPr>
          <w:rFonts w:ascii="Arial" w:hAnsi="Arial" w:cs="Arial"/>
          <w:snapToGrid w:val="0"/>
          <w:sz w:val="20"/>
        </w:rPr>
      </w:pPr>
      <w:r w:rsidRPr="00B14C47">
        <w:rPr>
          <w:rFonts w:ascii="Arial" w:hAnsi="Arial" w:cs="Arial"/>
          <w:snapToGrid w:val="0"/>
          <w:sz w:val="20"/>
        </w:rPr>
        <w:t>“</w:t>
      </w:r>
      <w:r w:rsidRPr="00B14C47">
        <w:rPr>
          <w:rFonts w:ascii="Arial" w:hAnsi="Arial" w:cs="Arial"/>
          <w:b/>
          <w:snapToGrid w:val="0"/>
          <w:sz w:val="20"/>
        </w:rPr>
        <w:t>ИНФРА ХОЛДИНГ</w:t>
      </w:r>
      <w:r w:rsidRPr="00B14C47">
        <w:rPr>
          <w:rFonts w:ascii="Arial" w:hAnsi="Arial" w:cs="Arial"/>
          <w:snapToGrid w:val="0"/>
          <w:sz w:val="20"/>
        </w:rPr>
        <w:t xml:space="preserve">” </w:t>
      </w:r>
      <w:r w:rsidRPr="00B14C47">
        <w:rPr>
          <w:rFonts w:ascii="Arial" w:hAnsi="Arial" w:cs="Arial"/>
          <w:b/>
          <w:snapToGrid w:val="0"/>
          <w:sz w:val="20"/>
        </w:rPr>
        <w:t>АД</w:t>
      </w:r>
      <w:r w:rsidRPr="00B14C47">
        <w:rPr>
          <w:rFonts w:ascii="Arial" w:hAnsi="Arial" w:cs="Arial"/>
          <w:snapToGrid w:val="0"/>
          <w:sz w:val="20"/>
        </w:rPr>
        <w:t xml:space="preserve"> е акционерно  дружество, регистрирано в Софийски градски съд по фирмено</w:t>
      </w:r>
      <w:r w:rsidR="006C21F4" w:rsidRPr="00B14C47">
        <w:rPr>
          <w:rFonts w:ascii="Arial" w:hAnsi="Arial" w:cs="Arial"/>
          <w:snapToGrid w:val="0"/>
          <w:sz w:val="20"/>
        </w:rPr>
        <w:t xml:space="preserve"> </w:t>
      </w:r>
      <w:r w:rsidRPr="00B14C47">
        <w:rPr>
          <w:rFonts w:ascii="Arial" w:hAnsi="Arial" w:cs="Arial"/>
          <w:snapToGrid w:val="0"/>
          <w:sz w:val="20"/>
        </w:rPr>
        <w:t>дело</w:t>
      </w:r>
      <w:r w:rsidR="006C21F4" w:rsidRPr="00B14C47">
        <w:rPr>
          <w:rFonts w:ascii="Arial" w:hAnsi="Arial" w:cs="Arial"/>
          <w:snapToGrid w:val="0"/>
          <w:sz w:val="20"/>
        </w:rPr>
        <w:t xml:space="preserve"> № 5131/2007 г</w:t>
      </w:r>
      <w:r w:rsidR="00C13396" w:rsidRPr="00B14C47">
        <w:rPr>
          <w:rFonts w:ascii="Arial" w:hAnsi="Arial" w:cs="Arial"/>
          <w:snapToGrid w:val="0"/>
          <w:sz w:val="20"/>
        </w:rPr>
        <w:t>.</w:t>
      </w:r>
    </w:p>
    <w:p w14:paraId="7E51549F" w14:textId="77777777" w:rsidR="002D0F6E" w:rsidRDefault="006C21F4" w:rsidP="00485C59">
      <w:pPr>
        <w:rPr>
          <w:rFonts w:ascii="Arial" w:hAnsi="Arial" w:cs="Arial"/>
          <w:b/>
          <w:snapToGrid w:val="0"/>
          <w:sz w:val="24"/>
          <w:szCs w:val="24"/>
        </w:rPr>
      </w:pPr>
      <w:r w:rsidRPr="00B14C47">
        <w:rPr>
          <w:rFonts w:ascii="Arial" w:hAnsi="Arial" w:cs="Arial"/>
          <w:b/>
          <w:snapToGrid w:val="0"/>
          <w:sz w:val="24"/>
          <w:szCs w:val="24"/>
        </w:rPr>
        <w:t xml:space="preserve">Основен /записан/ капитал </w:t>
      </w:r>
    </w:p>
    <w:p w14:paraId="15A3711B" w14:textId="77777777" w:rsidR="0046182B" w:rsidRDefault="0046182B" w:rsidP="00485C59">
      <w:pPr>
        <w:rPr>
          <w:rFonts w:ascii="Arial" w:hAnsi="Arial" w:cs="Arial"/>
          <w:b/>
          <w:snapToGrid w:val="0"/>
          <w:sz w:val="24"/>
          <w:szCs w:val="24"/>
        </w:rPr>
      </w:pPr>
    </w:p>
    <w:p w14:paraId="3A36D008" w14:textId="6A1A53AD" w:rsidR="0046182B" w:rsidRDefault="0046182B" w:rsidP="00485C59">
      <w:pPr>
        <w:rPr>
          <w:rFonts w:ascii="Arial" w:hAnsi="Arial" w:cs="Arial"/>
          <w:b/>
          <w:snapToGrid w:val="0"/>
          <w:sz w:val="24"/>
          <w:szCs w:val="24"/>
        </w:rPr>
      </w:pPr>
      <w:r w:rsidRPr="0046182B">
        <w:rPr>
          <w:noProof/>
        </w:rPr>
        <w:drawing>
          <wp:inline distT="0" distB="0" distL="0" distR="0" wp14:anchorId="1EE3C52F" wp14:editId="5825B112">
            <wp:extent cx="6011545" cy="1265264"/>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1545" cy="1265264"/>
                    </a:xfrm>
                    <a:prstGeom prst="rect">
                      <a:avLst/>
                    </a:prstGeom>
                    <a:noFill/>
                    <a:ln>
                      <a:noFill/>
                    </a:ln>
                  </pic:spPr>
                </pic:pic>
              </a:graphicData>
            </a:graphic>
          </wp:inline>
        </w:drawing>
      </w:r>
    </w:p>
    <w:p w14:paraId="09CAC969" w14:textId="0029BA63" w:rsidR="00791666" w:rsidRPr="00B14C47" w:rsidRDefault="00791666" w:rsidP="00485C59">
      <w:pPr>
        <w:rPr>
          <w:rFonts w:ascii="Arial" w:hAnsi="Arial" w:cs="Arial"/>
          <w:b/>
          <w:snapToGrid w:val="0"/>
          <w:sz w:val="24"/>
          <w:szCs w:val="24"/>
        </w:rPr>
      </w:pPr>
    </w:p>
    <w:p w14:paraId="439D652F" w14:textId="77777777" w:rsidR="00CC18AE" w:rsidRPr="00B14C47" w:rsidRDefault="00CC18AE" w:rsidP="000C0A89">
      <w:pPr>
        <w:ind w:right="-1370"/>
        <w:rPr>
          <w:rFonts w:ascii="Arial" w:hAnsi="Arial" w:cs="Arial"/>
          <w:sz w:val="16"/>
          <w:szCs w:val="16"/>
        </w:rPr>
      </w:pPr>
    </w:p>
    <w:p w14:paraId="083FA414" w14:textId="41AAC124" w:rsidR="00B66DF8" w:rsidRPr="00B14C47" w:rsidRDefault="00B66DF8" w:rsidP="00B66DF8">
      <w:pPr>
        <w:pStyle w:val="Heading1"/>
        <w:spacing w:before="0"/>
        <w:rPr>
          <w:rFonts w:ascii="Arial" w:hAnsi="Arial" w:cs="Arial"/>
          <w:i/>
          <w:sz w:val="20"/>
          <w:szCs w:val="20"/>
          <w:lang w:val="bg-BG"/>
        </w:rPr>
      </w:pPr>
      <w:bookmarkStart w:id="6" w:name="_Toc247959124"/>
      <w:bookmarkStart w:id="7" w:name="_Toc270424832"/>
      <w:bookmarkStart w:id="8" w:name="_Toc164268321"/>
      <w:r w:rsidRPr="00B14C47">
        <w:rPr>
          <w:rFonts w:ascii="Arial" w:hAnsi="Arial" w:cs="Arial"/>
          <w:snapToGrid w:val="0"/>
          <w:sz w:val="20"/>
          <w:szCs w:val="20"/>
          <w:lang w:val="bg-BG"/>
        </w:rPr>
        <w:t xml:space="preserve">ІІ. БАЗА ЗА ИЗГОТВЯНЕ НА </w:t>
      </w:r>
      <w:r w:rsidR="0053726D" w:rsidRPr="00B14C47">
        <w:rPr>
          <w:rFonts w:ascii="Arial" w:hAnsi="Arial" w:cs="Arial"/>
          <w:snapToGrid w:val="0"/>
          <w:sz w:val="20"/>
          <w:szCs w:val="20"/>
          <w:lang w:val="bg-BG"/>
        </w:rPr>
        <w:t xml:space="preserve">ИНДИВИДУАЛНИТЕ </w:t>
      </w:r>
      <w:r w:rsidRPr="00B14C47">
        <w:rPr>
          <w:rFonts w:ascii="Arial" w:hAnsi="Arial" w:cs="Arial"/>
          <w:snapToGrid w:val="0"/>
          <w:sz w:val="20"/>
          <w:szCs w:val="20"/>
          <w:lang w:val="bg-BG"/>
        </w:rPr>
        <w:t xml:space="preserve">ФИНАНСОВИ ОТЧЕТИ И </w:t>
      </w:r>
      <w:r w:rsidR="00F24A1B" w:rsidRPr="00B14C47">
        <w:rPr>
          <w:rFonts w:ascii="Arial" w:hAnsi="Arial" w:cs="Arial"/>
          <w:snapToGrid w:val="0"/>
          <w:sz w:val="20"/>
          <w:szCs w:val="20"/>
          <w:lang w:val="bg-BG"/>
        </w:rPr>
        <w:t>СЪЩЕСТВЕН</w:t>
      </w:r>
      <w:r w:rsidR="00F24A1B">
        <w:rPr>
          <w:rFonts w:ascii="Arial" w:hAnsi="Arial" w:cs="Arial"/>
          <w:snapToGrid w:val="0"/>
          <w:sz w:val="20"/>
          <w:szCs w:val="20"/>
          <w:lang w:val="bg-BG"/>
        </w:rPr>
        <w:t>А ИНФОРМАЦИЯ ЗА</w:t>
      </w:r>
      <w:r w:rsidR="00F24A1B" w:rsidRPr="00B14C47">
        <w:rPr>
          <w:rFonts w:ascii="Arial" w:hAnsi="Arial" w:cs="Arial"/>
          <w:snapToGrid w:val="0"/>
          <w:sz w:val="20"/>
          <w:szCs w:val="20"/>
          <w:lang w:val="bg-BG"/>
        </w:rPr>
        <w:t xml:space="preserve"> </w:t>
      </w:r>
      <w:r w:rsidRPr="00B14C47">
        <w:rPr>
          <w:rFonts w:ascii="Arial" w:hAnsi="Arial" w:cs="Arial"/>
          <w:snapToGrid w:val="0"/>
          <w:sz w:val="20"/>
          <w:szCs w:val="20"/>
          <w:lang w:val="bg-BG"/>
        </w:rPr>
        <w:t>СЧЕТОВОДНИ ПОЛИТИКИ</w:t>
      </w:r>
      <w:bookmarkEnd w:id="6"/>
      <w:bookmarkEnd w:id="7"/>
      <w:bookmarkEnd w:id="8"/>
    </w:p>
    <w:p w14:paraId="0C864B3E" w14:textId="77777777" w:rsidR="006358E0" w:rsidRPr="00B14C47" w:rsidRDefault="006358E0" w:rsidP="006358E0">
      <w:pPr>
        <w:rPr>
          <w:rFonts w:ascii="Arial" w:hAnsi="Arial" w:cs="Arial"/>
          <w:bCs/>
          <w:i/>
          <w:sz w:val="20"/>
        </w:rPr>
      </w:pPr>
      <w:bookmarkStart w:id="9" w:name="_Toc320885212"/>
      <w:bookmarkStart w:id="10" w:name="_Toc247959126"/>
      <w:bookmarkStart w:id="11" w:name="_Toc270424834"/>
      <w:r w:rsidRPr="00B14C47">
        <w:rPr>
          <w:rFonts w:ascii="Arial" w:hAnsi="Arial" w:cs="Arial"/>
          <w:bCs/>
          <w:i/>
          <w:sz w:val="20"/>
        </w:rPr>
        <w:t>Индивидуалния</w:t>
      </w:r>
      <w:r w:rsidR="00C13396" w:rsidRPr="00B14C47">
        <w:rPr>
          <w:rFonts w:ascii="Arial" w:hAnsi="Arial" w:cs="Arial"/>
          <w:bCs/>
          <w:i/>
          <w:sz w:val="20"/>
        </w:rPr>
        <w:t>т</w:t>
      </w:r>
      <w:r w:rsidRPr="00B14C47">
        <w:rPr>
          <w:rFonts w:ascii="Arial" w:hAnsi="Arial" w:cs="Arial"/>
          <w:bCs/>
          <w:i/>
          <w:sz w:val="20"/>
        </w:rPr>
        <w:t xml:space="preserve"> финансов отчет е изготвен съгласно изискванията на българското счетоводно законодателство в националната валута на Република България - български лев. </w:t>
      </w:r>
    </w:p>
    <w:p w14:paraId="170130F0" w14:textId="77777777" w:rsidR="006358E0" w:rsidRPr="00B14C47" w:rsidRDefault="006358E0" w:rsidP="006358E0">
      <w:pPr>
        <w:rPr>
          <w:rFonts w:ascii="Arial" w:hAnsi="Arial" w:cs="Arial"/>
          <w:bCs/>
          <w:sz w:val="20"/>
        </w:rPr>
      </w:pPr>
      <w:r w:rsidRPr="00B14C47">
        <w:rPr>
          <w:rFonts w:ascii="Arial" w:hAnsi="Arial" w:cs="Arial"/>
          <w:bCs/>
          <w:sz w:val="20"/>
        </w:rPr>
        <w:t xml:space="preserve">От 1 януари 1999 година българският лев е с фиксиран курс към еврото: 1. 95583 лева за 1 евро. </w:t>
      </w:r>
    </w:p>
    <w:p w14:paraId="23BF2F7F" w14:textId="77777777" w:rsidR="006358E0" w:rsidRPr="00B14C47" w:rsidRDefault="006358E0" w:rsidP="006358E0">
      <w:pPr>
        <w:rPr>
          <w:rFonts w:ascii="Arial" w:hAnsi="Arial" w:cs="Arial"/>
          <w:b/>
          <w:i/>
          <w:sz w:val="20"/>
        </w:rPr>
      </w:pPr>
      <w:r w:rsidRPr="00B14C47">
        <w:rPr>
          <w:rFonts w:ascii="Arial" w:hAnsi="Arial" w:cs="Arial"/>
          <w:i/>
          <w:sz w:val="20"/>
        </w:rPr>
        <w:t>Точността на сумите представени в индивидуалния финансов отчет е хиляди български лева</w:t>
      </w:r>
      <w:r w:rsidRPr="00B14C47">
        <w:rPr>
          <w:rFonts w:ascii="Arial" w:hAnsi="Arial" w:cs="Arial"/>
          <w:b/>
          <w:i/>
          <w:sz w:val="20"/>
        </w:rPr>
        <w:t xml:space="preserve">. </w:t>
      </w:r>
    </w:p>
    <w:p w14:paraId="788DD979" w14:textId="77777777" w:rsidR="006358E0" w:rsidRPr="00B14C47" w:rsidRDefault="006358E0" w:rsidP="006358E0">
      <w:pPr>
        <w:rPr>
          <w:rFonts w:ascii="Arial" w:hAnsi="Arial" w:cs="Arial"/>
          <w:sz w:val="20"/>
        </w:rPr>
      </w:pPr>
      <w:r w:rsidRPr="00B14C47">
        <w:rPr>
          <w:rFonts w:ascii="Arial" w:hAnsi="Arial" w:cs="Arial"/>
          <w:sz w:val="20"/>
        </w:rPr>
        <w:t xml:space="preserve">Настоящият индивидуален финансов отчет е изготвен в съответствие с изискванията на Международни стандарти за финансови отчети (МСФО), приети от Комисията на Европейския съюз. Индивидуалния финансов отчет е изготвен и в съответствие с изискванията на Международните стандарти за финансова отчетност, публикувани от Международния съвет по счетоводни стандарти. Всички Международни стандарти за финансови отчети са публикувани от Международния съвет по счетоводни стандарти, в сила за периода на изготвяне на тези и финансови отчети, са приети от Европейския съюз чрез процедура за одобрение, установена от Комисията на Европейския съюз. </w:t>
      </w:r>
    </w:p>
    <w:p w14:paraId="74DCFBF4" w14:textId="77777777" w:rsidR="006358E0" w:rsidRPr="00B14C47" w:rsidRDefault="006358E0" w:rsidP="006358E0">
      <w:pPr>
        <w:rPr>
          <w:rFonts w:ascii="Arial" w:hAnsi="Arial" w:cs="Arial"/>
          <w:sz w:val="20"/>
        </w:rPr>
      </w:pPr>
      <w:r w:rsidRPr="00B14C47">
        <w:rPr>
          <w:rFonts w:ascii="Arial" w:hAnsi="Arial" w:cs="Arial"/>
          <w:sz w:val="20"/>
        </w:rPr>
        <w:t>Индивидуалния финансов отчет е изготвен на принципа на действащо предприятие, което предполага, че Дружеството ще продължи дейността си в обозримо бъдеще.</w:t>
      </w:r>
    </w:p>
    <w:p w14:paraId="5CBAA95D" w14:textId="77777777" w:rsidR="006358E0" w:rsidRPr="00B14C47" w:rsidRDefault="006358E0" w:rsidP="006358E0">
      <w:pPr>
        <w:rPr>
          <w:rFonts w:ascii="Arial" w:hAnsi="Arial" w:cs="Arial"/>
          <w:sz w:val="20"/>
        </w:rPr>
      </w:pPr>
      <w:bookmarkStart w:id="12" w:name="complianceifrsnote2"/>
      <w:bookmarkEnd w:id="12"/>
      <w:r w:rsidRPr="00B14C47">
        <w:rPr>
          <w:rFonts w:ascii="Arial" w:hAnsi="Arial" w:cs="Arial"/>
          <w:sz w:val="20"/>
        </w:rPr>
        <w:t>Изготвянето на индивидуалните финансови отчети в съответствие с МСФО, изисква употребата на счетоводни приблизителни оценки. Когато е прилагало счетоводната политика, ръководството се е основавало на собствената си преценка. Елементите на индивидуалните финансови отчети, чието представяне включва по-висока степен на преценка или субективност, както и тези елементи, за които предположенията и оценките имат значително влияние върху индивидуалните финансови отчети като цяло, са отделно оповестени в съответните приложения на настоящия отчет.</w:t>
      </w:r>
    </w:p>
    <w:p w14:paraId="00003A04" w14:textId="77777777" w:rsidR="006358E0" w:rsidRPr="00B14C47" w:rsidRDefault="006358E0" w:rsidP="00B66DF8">
      <w:pPr>
        <w:pStyle w:val="Heading2"/>
        <w:spacing w:before="0"/>
        <w:rPr>
          <w:rFonts w:ascii="Arial" w:hAnsi="Arial" w:cs="Arial"/>
          <w:i/>
          <w:sz w:val="20"/>
          <w:szCs w:val="20"/>
        </w:rPr>
      </w:pPr>
    </w:p>
    <w:p w14:paraId="23BE6E24" w14:textId="77777777" w:rsidR="00B66DF8" w:rsidRPr="00B14C47" w:rsidRDefault="00B66DF8" w:rsidP="00B66DF8">
      <w:pPr>
        <w:pStyle w:val="Heading2"/>
        <w:spacing w:before="0"/>
        <w:rPr>
          <w:rFonts w:ascii="Arial" w:hAnsi="Arial" w:cs="Arial"/>
          <w:i/>
          <w:sz w:val="20"/>
          <w:szCs w:val="20"/>
          <w:lang w:val="bg-BG"/>
        </w:rPr>
      </w:pPr>
      <w:bookmarkStart w:id="13" w:name="_Toc164268322"/>
      <w:r w:rsidRPr="00B14C47">
        <w:rPr>
          <w:rFonts w:ascii="Arial" w:hAnsi="Arial" w:cs="Arial"/>
          <w:i/>
          <w:sz w:val="20"/>
          <w:szCs w:val="20"/>
          <w:lang w:val="bg-BG"/>
        </w:rPr>
        <w:t>ОСНОВНИ ПОКАЗАТЕЛИ НА СТОПАНСКАТА СРЕДА</w:t>
      </w:r>
      <w:bookmarkEnd w:id="9"/>
      <w:bookmarkEnd w:id="13"/>
    </w:p>
    <w:p w14:paraId="5B9427E1" w14:textId="18C85030" w:rsidR="00DB56EE" w:rsidRPr="00806F20" w:rsidRDefault="00DB56EE" w:rsidP="00DB56EE">
      <w:pPr>
        <w:rPr>
          <w:rFonts w:ascii="Arial" w:hAnsi="Arial" w:cs="Arial"/>
          <w:sz w:val="20"/>
        </w:rPr>
      </w:pPr>
      <w:r w:rsidRPr="00806F20">
        <w:rPr>
          <w:rFonts w:ascii="Arial" w:hAnsi="Arial" w:cs="Arial"/>
          <w:sz w:val="20"/>
        </w:rPr>
        <w:t xml:space="preserve">Основните показатели на стопанската среда, които оказват влияние върху дейността на Дружеството, за </w:t>
      </w:r>
      <w:r w:rsidRPr="00CA29CF">
        <w:rPr>
          <w:rFonts w:ascii="Arial" w:hAnsi="Arial" w:cs="Arial"/>
          <w:sz w:val="20"/>
        </w:rPr>
        <w:t xml:space="preserve">периода </w:t>
      </w:r>
      <w:r w:rsidR="00806F20" w:rsidRPr="00CA29CF">
        <w:rPr>
          <w:rFonts w:ascii="Arial" w:hAnsi="Arial" w:cs="Arial"/>
          <w:sz w:val="20"/>
        </w:rPr>
        <w:t xml:space="preserve">2023 </w:t>
      </w:r>
      <w:r w:rsidRPr="00CA29CF">
        <w:rPr>
          <w:rFonts w:ascii="Arial" w:hAnsi="Arial" w:cs="Arial"/>
          <w:sz w:val="20"/>
        </w:rPr>
        <w:t xml:space="preserve">– </w:t>
      </w:r>
      <w:r w:rsidR="00806F20" w:rsidRPr="00CA29CF">
        <w:rPr>
          <w:rFonts w:ascii="Arial" w:hAnsi="Arial" w:cs="Arial"/>
          <w:sz w:val="20"/>
        </w:rPr>
        <w:t>20</w:t>
      </w:r>
      <w:r w:rsidR="00806F20" w:rsidRPr="00CA29CF">
        <w:rPr>
          <w:rFonts w:ascii="Arial" w:hAnsi="Arial" w:cs="Arial"/>
          <w:sz w:val="20"/>
          <w:lang w:val="en-US"/>
        </w:rPr>
        <w:t>2</w:t>
      </w:r>
      <w:r w:rsidR="00806F20" w:rsidRPr="00806F20">
        <w:rPr>
          <w:rFonts w:ascii="Arial" w:hAnsi="Arial" w:cs="Arial"/>
          <w:sz w:val="20"/>
        </w:rPr>
        <w:t xml:space="preserve">2 </w:t>
      </w:r>
      <w:r w:rsidRPr="00806F20">
        <w:rPr>
          <w:rFonts w:ascii="Arial" w:hAnsi="Arial" w:cs="Arial"/>
          <w:sz w:val="20"/>
        </w:rPr>
        <w:t>г. са представени в таблицата по-долу:</w:t>
      </w:r>
    </w:p>
    <w:tbl>
      <w:tblPr>
        <w:tblW w:w="5000" w:type="pct"/>
        <w:tblLayout w:type="fixed"/>
        <w:tblCellMar>
          <w:left w:w="70" w:type="dxa"/>
          <w:right w:w="70" w:type="dxa"/>
        </w:tblCellMar>
        <w:tblLook w:val="04A0" w:firstRow="1" w:lastRow="0" w:firstColumn="1" w:lastColumn="0" w:noHBand="0" w:noVBand="1"/>
      </w:tblPr>
      <w:tblGrid>
        <w:gridCol w:w="4215"/>
        <w:gridCol w:w="1510"/>
        <w:gridCol w:w="1576"/>
        <w:gridCol w:w="1134"/>
        <w:gridCol w:w="1172"/>
      </w:tblGrid>
      <w:tr w:rsidR="00806F20" w:rsidRPr="00806F20" w14:paraId="2BC79F1B"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5DCAD155" w14:textId="77777777" w:rsidR="00806F20" w:rsidRPr="00CA29CF" w:rsidRDefault="00806F20" w:rsidP="00806F20">
            <w:pPr>
              <w:spacing w:line="256" w:lineRule="auto"/>
              <w:rPr>
                <w:rFonts w:ascii="Arial" w:hAnsi="Arial" w:cs="Arial"/>
                <w:b/>
                <w:bCs/>
                <w:color w:val="000000"/>
                <w:sz w:val="20"/>
                <w:lang w:eastAsia="bg-BG"/>
              </w:rPr>
            </w:pPr>
            <w:r w:rsidRPr="00CA29CF">
              <w:rPr>
                <w:rFonts w:ascii="Arial" w:hAnsi="Arial" w:cs="Arial"/>
                <w:b/>
                <w:bCs/>
                <w:color w:val="000000"/>
                <w:sz w:val="20"/>
                <w:lang w:eastAsia="bg-BG"/>
              </w:rPr>
              <w:t>Показател</w:t>
            </w:r>
          </w:p>
        </w:tc>
        <w:tc>
          <w:tcPr>
            <w:tcW w:w="786" w:type="pct"/>
            <w:tcBorders>
              <w:top w:val="single" w:sz="4" w:space="0" w:color="auto"/>
              <w:left w:val="nil"/>
              <w:bottom w:val="single" w:sz="4" w:space="0" w:color="auto"/>
              <w:right w:val="single" w:sz="4" w:space="0" w:color="auto"/>
            </w:tcBorders>
            <w:noWrap/>
            <w:vAlign w:val="bottom"/>
            <w:hideMark/>
          </w:tcPr>
          <w:p w14:paraId="48CD879D" w14:textId="57B90E46" w:rsidR="00806F20" w:rsidRPr="00CA29CF" w:rsidRDefault="00806F20" w:rsidP="00806F20">
            <w:pPr>
              <w:spacing w:line="256" w:lineRule="auto"/>
              <w:jc w:val="center"/>
              <w:rPr>
                <w:rFonts w:ascii="Arial" w:hAnsi="Arial" w:cs="Arial"/>
                <w:b/>
                <w:bCs/>
                <w:color w:val="000000"/>
                <w:sz w:val="20"/>
                <w:lang w:val="en-US" w:eastAsia="bg-BG"/>
              </w:rPr>
            </w:pPr>
            <w:r w:rsidRPr="00806F20">
              <w:rPr>
                <w:rFonts w:ascii="Garamond" w:hAnsi="Garamond" w:cs="Arial"/>
                <w:b/>
                <w:bCs/>
                <w:color w:val="000000"/>
                <w:lang w:eastAsia="bg-BG"/>
              </w:rPr>
              <w:t>2023</w:t>
            </w:r>
          </w:p>
        </w:tc>
        <w:tc>
          <w:tcPr>
            <w:tcW w:w="820" w:type="pct"/>
            <w:tcBorders>
              <w:top w:val="single" w:sz="4" w:space="0" w:color="auto"/>
              <w:left w:val="nil"/>
              <w:bottom w:val="single" w:sz="4" w:space="0" w:color="auto"/>
              <w:right w:val="single" w:sz="4" w:space="0" w:color="auto"/>
            </w:tcBorders>
            <w:noWrap/>
            <w:vAlign w:val="bottom"/>
            <w:hideMark/>
          </w:tcPr>
          <w:p w14:paraId="0FD874CB" w14:textId="71658AE6" w:rsidR="00806F20" w:rsidRPr="00CA29CF" w:rsidRDefault="00806F20" w:rsidP="00806F20">
            <w:pPr>
              <w:spacing w:line="256" w:lineRule="auto"/>
              <w:rPr>
                <w:rFonts w:ascii="Arial" w:hAnsi="Arial" w:cs="Arial"/>
                <w:b/>
                <w:bCs/>
                <w:color w:val="000000"/>
                <w:sz w:val="20"/>
                <w:lang w:eastAsia="bg-BG"/>
              </w:rPr>
            </w:pPr>
            <w:r w:rsidRPr="00806F20">
              <w:rPr>
                <w:rFonts w:ascii="Garamond" w:hAnsi="Garamond" w:cs="Arial"/>
                <w:b/>
                <w:bCs/>
                <w:color w:val="000000"/>
                <w:lang w:eastAsia="bg-BG"/>
              </w:rPr>
              <w:t>Към дата</w:t>
            </w:r>
          </w:p>
        </w:tc>
        <w:tc>
          <w:tcPr>
            <w:tcW w:w="590" w:type="pct"/>
            <w:tcBorders>
              <w:top w:val="single" w:sz="4" w:space="0" w:color="auto"/>
              <w:left w:val="nil"/>
              <w:bottom w:val="single" w:sz="4" w:space="0" w:color="auto"/>
              <w:right w:val="single" w:sz="4" w:space="0" w:color="auto"/>
            </w:tcBorders>
            <w:noWrap/>
            <w:vAlign w:val="bottom"/>
            <w:hideMark/>
          </w:tcPr>
          <w:p w14:paraId="7E0552A7" w14:textId="5F8E9EA0" w:rsidR="00806F20" w:rsidRPr="00CA29CF" w:rsidRDefault="00806F20" w:rsidP="00806F20">
            <w:pPr>
              <w:spacing w:line="256" w:lineRule="auto"/>
              <w:rPr>
                <w:rFonts w:ascii="Arial" w:hAnsi="Arial" w:cs="Arial"/>
                <w:b/>
                <w:bCs/>
                <w:color w:val="000000"/>
                <w:sz w:val="20"/>
                <w:lang w:eastAsia="bg-BG"/>
              </w:rPr>
            </w:pPr>
            <w:r w:rsidRPr="00806F20">
              <w:rPr>
                <w:rFonts w:ascii="Garamond" w:hAnsi="Garamond" w:cs="Arial"/>
                <w:b/>
                <w:bCs/>
                <w:color w:val="000000"/>
                <w:lang w:eastAsia="bg-BG"/>
              </w:rPr>
              <w:t>Източник</w:t>
            </w:r>
          </w:p>
        </w:tc>
        <w:tc>
          <w:tcPr>
            <w:tcW w:w="610" w:type="pct"/>
            <w:tcBorders>
              <w:top w:val="single" w:sz="4" w:space="0" w:color="auto"/>
              <w:left w:val="nil"/>
              <w:bottom w:val="single" w:sz="4" w:space="0" w:color="auto"/>
              <w:right w:val="single" w:sz="4" w:space="0" w:color="auto"/>
            </w:tcBorders>
            <w:noWrap/>
            <w:vAlign w:val="bottom"/>
            <w:hideMark/>
          </w:tcPr>
          <w:p w14:paraId="2D40D8BD" w14:textId="7D6850BD" w:rsidR="00806F20" w:rsidRPr="00CA29CF" w:rsidRDefault="00806F20" w:rsidP="00806F20">
            <w:pPr>
              <w:spacing w:line="256" w:lineRule="auto"/>
              <w:jc w:val="center"/>
              <w:rPr>
                <w:rFonts w:ascii="Arial" w:hAnsi="Arial" w:cs="Arial"/>
                <w:b/>
                <w:bCs/>
                <w:color w:val="000000"/>
                <w:sz w:val="20"/>
                <w:lang w:val="en-US" w:eastAsia="bg-BG"/>
              </w:rPr>
            </w:pPr>
            <w:r w:rsidRPr="00806F20">
              <w:rPr>
                <w:rFonts w:ascii="Garamond" w:hAnsi="Garamond" w:cs="Arial"/>
                <w:b/>
                <w:bCs/>
                <w:color w:val="000000"/>
                <w:lang w:eastAsia="bg-BG"/>
              </w:rPr>
              <w:t>2022</w:t>
            </w:r>
          </w:p>
        </w:tc>
      </w:tr>
      <w:tr w:rsidR="00806F20" w:rsidRPr="00806F20" w14:paraId="00A40DA1"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242F9D7C" w14:textId="77777777" w:rsidR="00806F20" w:rsidRPr="00195FFE" w:rsidRDefault="00806F20" w:rsidP="00806F20">
            <w:pPr>
              <w:spacing w:line="256" w:lineRule="auto"/>
              <w:rPr>
                <w:rFonts w:ascii="Arial" w:hAnsi="Arial" w:cs="Arial"/>
                <w:bCs/>
                <w:color w:val="000000"/>
                <w:sz w:val="20"/>
                <w:lang w:eastAsia="bg-BG"/>
              </w:rPr>
            </w:pPr>
            <w:r w:rsidRPr="00195FFE">
              <w:rPr>
                <w:rFonts w:ascii="Arial" w:hAnsi="Arial" w:cs="Arial"/>
                <w:bCs/>
                <w:sz w:val="20"/>
                <w:lang w:eastAsia="bg-BG"/>
              </w:rPr>
              <w:t>БВП производствен метод в млн. лв.*</w:t>
            </w:r>
          </w:p>
        </w:tc>
        <w:tc>
          <w:tcPr>
            <w:tcW w:w="786" w:type="pct"/>
            <w:tcBorders>
              <w:top w:val="single" w:sz="4" w:space="0" w:color="auto"/>
              <w:left w:val="nil"/>
              <w:bottom w:val="single" w:sz="4" w:space="0" w:color="auto"/>
              <w:right w:val="single" w:sz="4" w:space="0" w:color="auto"/>
            </w:tcBorders>
            <w:noWrap/>
            <w:vAlign w:val="bottom"/>
          </w:tcPr>
          <w:p w14:paraId="51B96D3F" w14:textId="1E5516B7" w:rsidR="00806F20" w:rsidRPr="00195FFE" w:rsidRDefault="00806F20" w:rsidP="00806F20">
            <w:pPr>
              <w:spacing w:line="256" w:lineRule="auto"/>
              <w:jc w:val="right"/>
              <w:rPr>
                <w:rFonts w:ascii="Arial" w:hAnsi="Arial" w:cs="Arial"/>
                <w:bCs/>
                <w:color w:val="000000"/>
                <w:sz w:val="20"/>
                <w:lang w:eastAsia="bg-BG"/>
              </w:rPr>
            </w:pPr>
            <w:r w:rsidRPr="00195FFE">
              <w:rPr>
                <w:rFonts w:ascii="Arial" w:hAnsi="Arial" w:cs="Arial"/>
                <w:bCs/>
                <w:color w:val="000000"/>
                <w:sz w:val="20"/>
                <w:lang w:eastAsia="bg-BG"/>
              </w:rPr>
              <w:t>131 895</w:t>
            </w:r>
          </w:p>
        </w:tc>
        <w:tc>
          <w:tcPr>
            <w:tcW w:w="820" w:type="pct"/>
            <w:tcBorders>
              <w:top w:val="single" w:sz="4" w:space="0" w:color="auto"/>
              <w:left w:val="nil"/>
              <w:bottom w:val="single" w:sz="4" w:space="0" w:color="auto"/>
              <w:right w:val="single" w:sz="4" w:space="0" w:color="auto"/>
            </w:tcBorders>
            <w:noWrap/>
            <w:vAlign w:val="bottom"/>
          </w:tcPr>
          <w:p w14:paraId="51A0E380" w14:textId="1E4148E4" w:rsidR="00806F20" w:rsidRPr="00195FFE" w:rsidRDefault="00806F20" w:rsidP="00806F20">
            <w:pPr>
              <w:spacing w:line="256" w:lineRule="auto"/>
              <w:jc w:val="right"/>
              <w:rPr>
                <w:rFonts w:ascii="Arial" w:hAnsi="Arial" w:cs="Arial"/>
                <w:bCs/>
                <w:color w:val="000000"/>
                <w:sz w:val="20"/>
                <w:lang w:eastAsia="bg-BG"/>
              </w:rPr>
            </w:pPr>
            <w:r w:rsidRPr="00195FFE">
              <w:rPr>
                <w:rFonts w:ascii="Arial" w:hAnsi="Arial" w:cs="Arial"/>
                <w:bCs/>
                <w:color w:val="000000"/>
                <w:sz w:val="20"/>
                <w:lang w:eastAsia="bg-BG"/>
              </w:rPr>
              <w:t>Q</w:t>
            </w:r>
            <w:r w:rsidR="00CA29CF" w:rsidRPr="00195FFE">
              <w:rPr>
                <w:rFonts w:ascii="Arial" w:hAnsi="Arial" w:cs="Arial"/>
                <w:bCs/>
                <w:color w:val="000000"/>
                <w:sz w:val="20"/>
                <w:lang w:val="en-US" w:eastAsia="bg-BG"/>
              </w:rPr>
              <w:t>3</w:t>
            </w:r>
            <w:r w:rsidRPr="00195FFE">
              <w:rPr>
                <w:rFonts w:ascii="Arial" w:hAnsi="Arial" w:cs="Arial"/>
                <w:bCs/>
                <w:color w:val="000000"/>
                <w:sz w:val="20"/>
                <w:lang w:eastAsia="bg-BG"/>
              </w:rPr>
              <w:t>/2023</w:t>
            </w:r>
          </w:p>
        </w:tc>
        <w:tc>
          <w:tcPr>
            <w:tcW w:w="590" w:type="pct"/>
            <w:tcBorders>
              <w:top w:val="single" w:sz="4" w:space="0" w:color="auto"/>
              <w:left w:val="nil"/>
              <w:bottom w:val="single" w:sz="4" w:space="0" w:color="auto"/>
              <w:right w:val="single" w:sz="4" w:space="0" w:color="auto"/>
            </w:tcBorders>
            <w:noWrap/>
            <w:vAlign w:val="bottom"/>
          </w:tcPr>
          <w:p w14:paraId="244488A2" w14:textId="3D300642"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743A6E3D" w14:textId="766CD688"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167 809</w:t>
            </w:r>
          </w:p>
        </w:tc>
      </w:tr>
      <w:tr w:rsidR="00806F20" w:rsidRPr="00806F20" w14:paraId="5D9A201F"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30AB8985" w14:textId="77777777" w:rsidR="00806F20" w:rsidRPr="00195FFE" w:rsidRDefault="00806F20" w:rsidP="00806F20">
            <w:pPr>
              <w:spacing w:line="256" w:lineRule="auto"/>
              <w:rPr>
                <w:rFonts w:ascii="Arial" w:hAnsi="Arial" w:cs="Arial"/>
                <w:bCs/>
                <w:color w:val="000000"/>
                <w:sz w:val="20"/>
                <w:lang w:eastAsia="bg-BG"/>
              </w:rPr>
            </w:pPr>
            <w:r w:rsidRPr="00195FFE">
              <w:rPr>
                <w:rFonts w:ascii="Arial" w:hAnsi="Arial" w:cs="Arial"/>
                <w:bCs/>
                <w:color w:val="000000"/>
                <w:sz w:val="20"/>
                <w:lang w:eastAsia="bg-BG"/>
              </w:rPr>
              <w:t>Реален растеж на БВП*</w:t>
            </w:r>
          </w:p>
        </w:tc>
        <w:tc>
          <w:tcPr>
            <w:tcW w:w="786" w:type="pct"/>
            <w:tcBorders>
              <w:top w:val="single" w:sz="4" w:space="0" w:color="auto"/>
              <w:left w:val="nil"/>
              <w:bottom w:val="single" w:sz="4" w:space="0" w:color="auto"/>
              <w:right w:val="single" w:sz="4" w:space="0" w:color="auto"/>
            </w:tcBorders>
            <w:noWrap/>
            <w:vAlign w:val="bottom"/>
          </w:tcPr>
          <w:p w14:paraId="3FC7775A" w14:textId="3F28E4D7" w:rsidR="00806F20" w:rsidRPr="00195FFE" w:rsidRDefault="00806F20" w:rsidP="00806F20">
            <w:pPr>
              <w:spacing w:line="256" w:lineRule="auto"/>
              <w:jc w:val="right"/>
              <w:rPr>
                <w:rFonts w:ascii="Arial" w:hAnsi="Arial" w:cs="Arial"/>
                <w:bCs/>
                <w:color w:val="000000"/>
                <w:sz w:val="20"/>
                <w:lang w:eastAsia="bg-BG"/>
              </w:rPr>
            </w:pPr>
            <w:r w:rsidRPr="00195FFE">
              <w:rPr>
                <w:rFonts w:ascii="Arial" w:hAnsi="Arial" w:cs="Arial"/>
                <w:bCs/>
                <w:color w:val="000000"/>
                <w:sz w:val="20"/>
                <w:lang w:eastAsia="bg-BG"/>
              </w:rPr>
              <w:t>1.80%</w:t>
            </w:r>
          </w:p>
        </w:tc>
        <w:tc>
          <w:tcPr>
            <w:tcW w:w="820" w:type="pct"/>
            <w:tcBorders>
              <w:top w:val="single" w:sz="4" w:space="0" w:color="auto"/>
              <w:left w:val="nil"/>
              <w:bottom w:val="single" w:sz="4" w:space="0" w:color="auto"/>
              <w:right w:val="single" w:sz="4" w:space="0" w:color="auto"/>
            </w:tcBorders>
            <w:noWrap/>
            <w:vAlign w:val="bottom"/>
          </w:tcPr>
          <w:p w14:paraId="623A9A56" w14:textId="6126549B" w:rsidR="00806F20" w:rsidRPr="00195FFE" w:rsidRDefault="00806F20" w:rsidP="00806F20">
            <w:pPr>
              <w:spacing w:line="256" w:lineRule="auto"/>
              <w:jc w:val="right"/>
              <w:rPr>
                <w:rFonts w:ascii="Arial" w:hAnsi="Arial" w:cs="Arial"/>
                <w:bCs/>
                <w:color w:val="000000"/>
                <w:sz w:val="20"/>
                <w:lang w:eastAsia="bg-BG"/>
              </w:rPr>
            </w:pPr>
            <w:r w:rsidRPr="00195FFE">
              <w:rPr>
                <w:rFonts w:ascii="Arial" w:hAnsi="Arial" w:cs="Arial"/>
                <w:bCs/>
                <w:color w:val="000000"/>
                <w:sz w:val="20"/>
                <w:lang w:eastAsia="bg-BG"/>
              </w:rPr>
              <w:t>Q3/2023</w:t>
            </w:r>
          </w:p>
        </w:tc>
        <w:tc>
          <w:tcPr>
            <w:tcW w:w="590" w:type="pct"/>
            <w:tcBorders>
              <w:top w:val="single" w:sz="4" w:space="0" w:color="auto"/>
              <w:left w:val="nil"/>
              <w:bottom w:val="single" w:sz="4" w:space="0" w:color="auto"/>
              <w:right w:val="single" w:sz="4" w:space="0" w:color="auto"/>
            </w:tcBorders>
            <w:noWrap/>
            <w:vAlign w:val="bottom"/>
          </w:tcPr>
          <w:p w14:paraId="7D3FC748" w14:textId="1688AB55"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12CD0088" w14:textId="14219A5F"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3.90%</w:t>
            </w:r>
          </w:p>
        </w:tc>
      </w:tr>
      <w:tr w:rsidR="00806F20" w:rsidRPr="00806F20" w14:paraId="13B599B1"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7CCF205F" w14:textId="77777777"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Инфлация в края на годината*</w:t>
            </w:r>
          </w:p>
        </w:tc>
        <w:tc>
          <w:tcPr>
            <w:tcW w:w="786" w:type="pct"/>
            <w:tcBorders>
              <w:top w:val="single" w:sz="4" w:space="0" w:color="auto"/>
              <w:left w:val="nil"/>
              <w:bottom w:val="single" w:sz="4" w:space="0" w:color="auto"/>
              <w:right w:val="single" w:sz="4" w:space="0" w:color="auto"/>
            </w:tcBorders>
            <w:noWrap/>
            <w:vAlign w:val="bottom"/>
          </w:tcPr>
          <w:p w14:paraId="3119D7EB" w14:textId="7958183F" w:rsidR="00806F20" w:rsidRPr="00CA29CF" w:rsidRDefault="00806F20" w:rsidP="00806F20">
            <w:pPr>
              <w:spacing w:line="256" w:lineRule="auto"/>
              <w:jc w:val="right"/>
              <w:rPr>
                <w:rFonts w:ascii="Arial" w:hAnsi="Arial" w:cs="Arial"/>
                <w:bCs/>
                <w:color w:val="000000"/>
                <w:sz w:val="20"/>
                <w:lang w:val="en-US" w:eastAsia="bg-BG"/>
              </w:rPr>
            </w:pPr>
            <w:r w:rsidRPr="00CA29CF">
              <w:rPr>
                <w:rFonts w:ascii="Arial" w:hAnsi="Arial" w:cs="Arial"/>
                <w:bCs/>
                <w:color w:val="000000"/>
                <w:sz w:val="20"/>
                <w:lang w:eastAsia="bg-BG"/>
              </w:rPr>
              <w:t>4.70%</w:t>
            </w:r>
          </w:p>
        </w:tc>
        <w:tc>
          <w:tcPr>
            <w:tcW w:w="820" w:type="pct"/>
            <w:tcBorders>
              <w:top w:val="single" w:sz="4" w:space="0" w:color="auto"/>
              <w:left w:val="nil"/>
              <w:bottom w:val="single" w:sz="4" w:space="0" w:color="auto"/>
              <w:right w:val="single" w:sz="4" w:space="0" w:color="auto"/>
            </w:tcBorders>
            <w:noWrap/>
            <w:vAlign w:val="bottom"/>
          </w:tcPr>
          <w:p w14:paraId="477D3281" w14:textId="7FA3A04E"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2023</w:t>
            </w:r>
          </w:p>
        </w:tc>
        <w:tc>
          <w:tcPr>
            <w:tcW w:w="590" w:type="pct"/>
            <w:tcBorders>
              <w:top w:val="single" w:sz="4" w:space="0" w:color="auto"/>
              <w:left w:val="nil"/>
              <w:bottom w:val="single" w:sz="4" w:space="0" w:color="auto"/>
              <w:right w:val="single" w:sz="4" w:space="0" w:color="auto"/>
            </w:tcBorders>
            <w:noWrap/>
            <w:vAlign w:val="bottom"/>
          </w:tcPr>
          <w:p w14:paraId="29075A6D" w14:textId="4349CB5E"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1A24E017" w14:textId="010BB8E2"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16.90%</w:t>
            </w:r>
          </w:p>
        </w:tc>
      </w:tr>
      <w:tr w:rsidR="00806F20" w:rsidRPr="00806F20" w14:paraId="2FB47CDF"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38D5CBC8" w14:textId="77777777"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 xml:space="preserve">Среден валутен курс на щатския долар </w:t>
            </w:r>
          </w:p>
        </w:tc>
        <w:tc>
          <w:tcPr>
            <w:tcW w:w="786" w:type="pct"/>
            <w:tcBorders>
              <w:top w:val="single" w:sz="4" w:space="0" w:color="auto"/>
              <w:left w:val="nil"/>
              <w:bottom w:val="single" w:sz="4" w:space="0" w:color="auto"/>
              <w:right w:val="single" w:sz="4" w:space="0" w:color="auto"/>
            </w:tcBorders>
            <w:noWrap/>
            <w:vAlign w:val="bottom"/>
          </w:tcPr>
          <w:p w14:paraId="7CF77F22" w14:textId="24435417"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1.80656</w:t>
            </w:r>
          </w:p>
        </w:tc>
        <w:tc>
          <w:tcPr>
            <w:tcW w:w="820" w:type="pct"/>
            <w:tcBorders>
              <w:top w:val="single" w:sz="4" w:space="0" w:color="auto"/>
              <w:left w:val="nil"/>
              <w:bottom w:val="single" w:sz="4" w:space="0" w:color="auto"/>
              <w:right w:val="single" w:sz="4" w:space="0" w:color="auto"/>
            </w:tcBorders>
            <w:noWrap/>
            <w:vAlign w:val="bottom"/>
          </w:tcPr>
          <w:p w14:paraId="3DD5467E" w14:textId="310CCF2C"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2023</w:t>
            </w:r>
          </w:p>
        </w:tc>
        <w:tc>
          <w:tcPr>
            <w:tcW w:w="590" w:type="pct"/>
            <w:tcBorders>
              <w:top w:val="single" w:sz="4" w:space="0" w:color="auto"/>
              <w:left w:val="nil"/>
              <w:bottom w:val="single" w:sz="4" w:space="0" w:color="auto"/>
              <w:right w:val="single" w:sz="4" w:space="0" w:color="auto"/>
            </w:tcBorders>
            <w:noWrap/>
            <w:vAlign w:val="bottom"/>
          </w:tcPr>
          <w:p w14:paraId="39FE3574" w14:textId="53748A26"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noWrap/>
            <w:vAlign w:val="bottom"/>
          </w:tcPr>
          <w:p w14:paraId="68556945" w14:textId="38E4B25D"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1.861798</w:t>
            </w:r>
          </w:p>
        </w:tc>
      </w:tr>
      <w:tr w:rsidR="00806F20" w:rsidRPr="00806F20" w14:paraId="5DEA3C38"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3A2733B4" w14:textId="77777777"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Валутен курс на щатския долар</w:t>
            </w:r>
          </w:p>
        </w:tc>
        <w:tc>
          <w:tcPr>
            <w:tcW w:w="786" w:type="pct"/>
            <w:tcBorders>
              <w:top w:val="single" w:sz="4" w:space="0" w:color="auto"/>
              <w:left w:val="nil"/>
              <w:bottom w:val="single" w:sz="4" w:space="0" w:color="auto"/>
              <w:right w:val="single" w:sz="4" w:space="0" w:color="auto"/>
            </w:tcBorders>
            <w:noWrap/>
            <w:vAlign w:val="bottom"/>
          </w:tcPr>
          <w:p w14:paraId="0CF75F2E" w14:textId="4002C389"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1.76998</w:t>
            </w:r>
          </w:p>
        </w:tc>
        <w:tc>
          <w:tcPr>
            <w:tcW w:w="820" w:type="pct"/>
            <w:tcBorders>
              <w:top w:val="single" w:sz="4" w:space="0" w:color="auto"/>
              <w:left w:val="nil"/>
              <w:bottom w:val="single" w:sz="4" w:space="0" w:color="auto"/>
              <w:right w:val="single" w:sz="4" w:space="0" w:color="auto"/>
            </w:tcBorders>
            <w:noWrap/>
            <w:vAlign w:val="bottom"/>
          </w:tcPr>
          <w:p w14:paraId="090B1293" w14:textId="359875A7"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31.12.2023</w:t>
            </w:r>
          </w:p>
        </w:tc>
        <w:tc>
          <w:tcPr>
            <w:tcW w:w="590" w:type="pct"/>
            <w:tcBorders>
              <w:top w:val="single" w:sz="4" w:space="0" w:color="auto"/>
              <w:left w:val="nil"/>
              <w:bottom w:val="single" w:sz="4" w:space="0" w:color="auto"/>
              <w:right w:val="single" w:sz="4" w:space="0" w:color="auto"/>
            </w:tcBorders>
            <w:noWrap/>
            <w:vAlign w:val="bottom"/>
          </w:tcPr>
          <w:p w14:paraId="08D440FC" w14:textId="34E659DE"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noWrap/>
            <w:vAlign w:val="bottom"/>
          </w:tcPr>
          <w:p w14:paraId="51CDC422" w14:textId="04125718"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1.83371</w:t>
            </w:r>
          </w:p>
        </w:tc>
      </w:tr>
      <w:tr w:rsidR="00806F20" w:rsidRPr="00806F20" w14:paraId="574E90A5"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7E151173" w14:textId="77777777"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Безработица в края на годината*</w:t>
            </w:r>
          </w:p>
        </w:tc>
        <w:tc>
          <w:tcPr>
            <w:tcW w:w="786" w:type="pct"/>
            <w:tcBorders>
              <w:top w:val="single" w:sz="4" w:space="0" w:color="auto"/>
              <w:left w:val="nil"/>
              <w:bottom w:val="single" w:sz="4" w:space="0" w:color="auto"/>
              <w:right w:val="single" w:sz="4" w:space="0" w:color="auto"/>
            </w:tcBorders>
            <w:noWrap/>
            <w:vAlign w:val="bottom"/>
          </w:tcPr>
          <w:p w14:paraId="094B5235" w14:textId="75DD09E6" w:rsidR="00806F20" w:rsidRPr="00CA29CF" w:rsidRDefault="00806F20" w:rsidP="00806F20">
            <w:pPr>
              <w:spacing w:line="256" w:lineRule="auto"/>
              <w:jc w:val="right"/>
              <w:rPr>
                <w:rFonts w:ascii="Arial" w:hAnsi="Arial" w:cs="Arial"/>
                <w:bCs/>
                <w:color w:val="000000"/>
                <w:sz w:val="20"/>
                <w:lang w:val="en-US" w:eastAsia="bg-BG"/>
              </w:rPr>
            </w:pPr>
            <w:r w:rsidRPr="00CA29CF">
              <w:rPr>
                <w:rFonts w:ascii="Arial" w:hAnsi="Arial" w:cs="Arial"/>
                <w:bCs/>
                <w:color w:val="000000"/>
                <w:sz w:val="20"/>
                <w:lang w:eastAsia="bg-BG"/>
              </w:rPr>
              <w:t>4.2</w:t>
            </w:r>
          </w:p>
        </w:tc>
        <w:tc>
          <w:tcPr>
            <w:tcW w:w="820" w:type="pct"/>
            <w:tcBorders>
              <w:top w:val="single" w:sz="4" w:space="0" w:color="auto"/>
              <w:left w:val="nil"/>
              <w:bottom w:val="single" w:sz="4" w:space="0" w:color="auto"/>
              <w:right w:val="single" w:sz="4" w:space="0" w:color="auto"/>
            </w:tcBorders>
            <w:noWrap/>
            <w:vAlign w:val="bottom"/>
          </w:tcPr>
          <w:p w14:paraId="299D5E3F" w14:textId="75691112"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Q4</w:t>
            </w:r>
          </w:p>
        </w:tc>
        <w:tc>
          <w:tcPr>
            <w:tcW w:w="590" w:type="pct"/>
            <w:tcBorders>
              <w:top w:val="single" w:sz="4" w:space="0" w:color="auto"/>
              <w:left w:val="nil"/>
              <w:bottom w:val="single" w:sz="4" w:space="0" w:color="auto"/>
              <w:right w:val="single" w:sz="4" w:space="0" w:color="auto"/>
            </w:tcBorders>
            <w:noWrap/>
            <w:vAlign w:val="bottom"/>
          </w:tcPr>
          <w:p w14:paraId="15356A0F" w14:textId="5AC0CAD6"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3D328CC1" w14:textId="7278178E"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3.9</w:t>
            </w:r>
          </w:p>
        </w:tc>
      </w:tr>
      <w:tr w:rsidR="00806F20" w:rsidRPr="00806F20" w14:paraId="20C0158B"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7C0FDD2F" w14:textId="77777777"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Основен лихвен процент в края на годината</w:t>
            </w:r>
          </w:p>
        </w:tc>
        <w:tc>
          <w:tcPr>
            <w:tcW w:w="786" w:type="pct"/>
            <w:tcBorders>
              <w:top w:val="single" w:sz="4" w:space="0" w:color="auto"/>
              <w:left w:val="nil"/>
              <w:bottom w:val="single" w:sz="4" w:space="0" w:color="auto"/>
              <w:right w:val="single" w:sz="4" w:space="0" w:color="auto"/>
            </w:tcBorders>
            <w:noWrap/>
            <w:vAlign w:val="bottom"/>
          </w:tcPr>
          <w:p w14:paraId="07A54CB6" w14:textId="2ED24099" w:rsidR="00806F20" w:rsidRPr="00CA29CF" w:rsidRDefault="00806F20" w:rsidP="00806F20">
            <w:pPr>
              <w:spacing w:line="256" w:lineRule="auto"/>
              <w:jc w:val="right"/>
              <w:rPr>
                <w:rFonts w:ascii="Arial" w:hAnsi="Arial" w:cs="Arial"/>
                <w:bCs/>
                <w:color w:val="000000"/>
                <w:sz w:val="20"/>
                <w:lang w:val="en-US" w:eastAsia="bg-BG"/>
              </w:rPr>
            </w:pPr>
            <w:r w:rsidRPr="00CA29CF">
              <w:rPr>
                <w:rFonts w:ascii="Arial" w:hAnsi="Arial" w:cs="Arial"/>
                <w:bCs/>
                <w:color w:val="000000"/>
                <w:sz w:val="20"/>
                <w:lang w:eastAsia="bg-BG"/>
              </w:rPr>
              <w:t>3.80%</w:t>
            </w:r>
          </w:p>
        </w:tc>
        <w:tc>
          <w:tcPr>
            <w:tcW w:w="820" w:type="pct"/>
            <w:tcBorders>
              <w:top w:val="single" w:sz="4" w:space="0" w:color="auto"/>
              <w:left w:val="nil"/>
              <w:bottom w:val="single" w:sz="4" w:space="0" w:color="auto"/>
              <w:right w:val="single" w:sz="4" w:space="0" w:color="auto"/>
            </w:tcBorders>
            <w:noWrap/>
            <w:vAlign w:val="bottom"/>
          </w:tcPr>
          <w:p w14:paraId="6B7CA6AD" w14:textId="02931091"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31.12.2023</w:t>
            </w:r>
          </w:p>
        </w:tc>
        <w:tc>
          <w:tcPr>
            <w:tcW w:w="590" w:type="pct"/>
            <w:tcBorders>
              <w:top w:val="single" w:sz="4" w:space="0" w:color="auto"/>
              <w:left w:val="nil"/>
              <w:bottom w:val="single" w:sz="4" w:space="0" w:color="auto"/>
              <w:right w:val="single" w:sz="4" w:space="0" w:color="auto"/>
            </w:tcBorders>
            <w:noWrap/>
            <w:vAlign w:val="bottom"/>
          </w:tcPr>
          <w:p w14:paraId="28131C68" w14:textId="5EEF389B" w:rsidR="00806F20" w:rsidRPr="00CA29CF" w:rsidRDefault="00806F20" w:rsidP="00806F20">
            <w:pPr>
              <w:spacing w:line="256" w:lineRule="auto"/>
              <w:rPr>
                <w:rFonts w:ascii="Arial" w:hAnsi="Arial" w:cs="Arial"/>
                <w:bCs/>
                <w:color w:val="000000"/>
                <w:sz w:val="20"/>
                <w:lang w:eastAsia="bg-BG"/>
              </w:rPr>
            </w:pPr>
            <w:r w:rsidRPr="00CA29CF">
              <w:rPr>
                <w:rFonts w:ascii="Arial" w:hAnsi="Arial"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noWrap/>
            <w:vAlign w:val="bottom"/>
          </w:tcPr>
          <w:p w14:paraId="00358871" w14:textId="1A5B796A" w:rsidR="00806F20" w:rsidRPr="00CA29CF" w:rsidRDefault="00806F20" w:rsidP="00806F20">
            <w:pPr>
              <w:spacing w:line="256" w:lineRule="auto"/>
              <w:jc w:val="right"/>
              <w:rPr>
                <w:rFonts w:ascii="Arial" w:hAnsi="Arial" w:cs="Arial"/>
                <w:bCs/>
                <w:color w:val="000000"/>
                <w:sz w:val="20"/>
                <w:lang w:eastAsia="bg-BG"/>
              </w:rPr>
            </w:pPr>
            <w:r w:rsidRPr="00CA29CF">
              <w:rPr>
                <w:rFonts w:ascii="Arial" w:hAnsi="Arial" w:cs="Arial"/>
                <w:bCs/>
                <w:color w:val="000000"/>
                <w:sz w:val="20"/>
                <w:lang w:eastAsia="bg-BG"/>
              </w:rPr>
              <w:t>1.30%</w:t>
            </w:r>
          </w:p>
        </w:tc>
      </w:tr>
    </w:tbl>
    <w:p w14:paraId="04073BB6" w14:textId="68AFEE70" w:rsidR="00DB56EE" w:rsidRPr="00B14C47" w:rsidRDefault="00DB56EE" w:rsidP="00DB56EE">
      <w:pPr>
        <w:rPr>
          <w:rFonts w:ascii="Arial" w:hAnsi="Arial" w:cs="Arial"/>
          <w:color w:val="000000"/>
          <w:sz w:val="20"/>
        </w:rPr>
      </w:pPr>
      <w:r w:rsidRPr="00CA29CF">
        <w:rPr>
          <w:rFonts w:ascii="Arial" w:hAnsi="Arial" w:cs="Arial"/>
          <w:bCs/>
          <w:i/>
          <w:iCs/>
          <w:sz w:val="20"/>
        </w:rPr>
        <w:t>*Данните за 202</w:t>
      </w:r>
      <w:r w:rsidR="00CA29CF">
        <w:rPr>
          <w:rFonts w:ascii="Arial" w:hAnsi="Arial" w:cs="Arial"/>
          <w:bCs/>
          <w:i/>
          <w:iCs/>
          <w:sz w:val="20"/>
          <w:lang w:val="en-US"/>
        </w:rPr>
        <w:t>3</w:t>
      </w:r>
      <w:r w:rsidRPr="00CA29CF">
        <w:rPr>
          <w:rFonts w:ascii="Arial" w:hAnsi="Arial" w:cs="Arial"/>
          <w:bCs/>
          <w:i/>
          <w:iCs/>
          <w:sz w:val="20"/>
        </w:rPr>
        <w:t xml:space="preserve">г. са предварителни, Източници НСИ, БНБ - публикации </w:t>
      </w:r>
      <w:r w:rsidR="00806F20" w:rsidRPr="00CA29CF">
        <w:rPr>
          <w:rFonts w:ascii="Arial" w:hAnsi="Arial" w:cs="Arial"/>
          <w:bCs/>
          <w:i/>
          <w:iCs/>
          <w:sz w:val="20"/>
        </w:rPr>
        <w:t>2023и 2024г</w:t>
      </w:r>
      <w:r w:rsidRPr="00CA29CF">
        <w:rPr>
          <w:rFonts w:ascii="Arial" w:hAnsi="Arial" w:cs="Arial"/>
          <w:bCs/>
          <w:i/>
          <w:iCs/>
          <w:sz w:val="20"/>
        </w:rPr>
        <w:t>.</w:t>
      </w:r>
    </w:p>
    <w:p w14:paraId="248A5830" w14:textId="77777777" w:rsidR="00984D04" w:rsidRPr="00B14C47" w:rsidRDefault="00984D04" w:rsidP="00B66DF8">
      <w:pPr>
        <w:pStyle w:val="Heading2"/>
        <w:spacing w:before="0"/>
        <w:rPr>
          <w:rFonts w:ascii="Arial" w:hAnsi="Arial" w:cs="Arial"/>
          <w:i/>
          <w:sz w:val="20"/>
          <w:szCs w:val="20"/>
          <w:lang w:val="bg-BG"/>
        </w:rPr>
      </w:pPr>
    </w:p>
    <w:p w14:paraId="6A65DD36" w14:textId="77777777" w:rsidR="00B66DF8" w:rsidRPr="00B14C47" w:rsidRDefault="00B66DF8" w:rsidP="00B66DF8">
      <w:pPr>
        <w:pStyle w:val="Heading2"/>
        <w:spacing w:before="0"/>
        <w:rPr>
          <w:rFonts w:ascii="Arial" w:hAnsi="Arial" w:cs="Arial"/>
          <w:sz w:val="20"/>
          <w:szCs w:val="20"/>
          <w:lang w:val="bg-BG"/>
        </w:rPr>
      </w:pPr>
      <w:bookmarkStart w:id="14" w:name="_Toc164268323"/>
      <w:r w:rsidRPr="00B14C47">
        <w:rPr>
          <w:rFonts w:ascii="Arial" w:hAnsi="Arial" w:cs="Arial"/>
          <w:i/>
          <w:sz w:val="20"/>
          <w:szCs w:val="20"/>
          <w:lang w:val="bg-BG"/>
        </w:rPr>
        <w:t>ЗЯВЛЕНИЕ ЗА СЪОТВЕТСТВИЕ</w:t>
      </w:r>
      <w:bookmarkEnd w:id="10"/>
      <w:bookmarkEnd w:id="11"/>
      <w:bookmarkEnd w:id="14"/>
      <w:r w:rsidRPr="00B14C47">
        <w:rPr>
          <w:rFonts w:ascii="Arial" w:hAnsi="Arial" w:cs="Arial"/>
          <w:sz w:val="20"/>
          <w:szCs w:val="20"/>
          <w:lang w:val="bg-BG"/>
        </w:rPr>
        <w:tab/>
      </w:r>
    </w:p>
    <w:p w14:paraId="60E44E29" w14:textId="77777777" w:rsidR="00156AA9" w:rsidRPr="00B14C47" w:rsidRDefault="00156AA9" w:rsidP="00156AA9">
      <w:pPr>
        <w:rPr>
          <w:rFonts w:ascii="Arial" w:hAnsi="Arial" w:cs="Arial"/>
          <w:bCs/>
          <w:sz w:val="20"/>
        </w:rPr>
      </w:pPr>
      <w:bookmarkStart w:id="15" w:name="_Toc247959127"/>
      <w:r w:rsidRPr="00B14C47">
        <w:rPr>
          <w:rFonts w:ascii="Arial" w:hAnsi="Arial" w:cs="Arial"/>
          <w:bCs/>
          <w:sz w:val="20"/>
        </w:rPr>
        <w:t xml:space="preserve">Дружеството води своето текущо счетоводство и изготвя финансовите си отчети в съответствие с Международните стандарти за финансова отчетност (МСФО). </w:t>
      </w:r>
    </w:p>
    <w:p w14:paraId="31976A2A" w14:textId="32458EAC" w:rsidR="00156AA9" w:rsidRDefault="00156AA9" w:rsidP="00156AA9">
      <w:pPr>
        <w:rPr>
          <w:rFonts w:ascii="Arial" w:hAnsi="Arial" w:cs="Arial"/>
          <w:bCs/>
          <w:i/>
          <w:sz w:val="20"/>
        </w:rPr>
      </w:pPr>
    </w:p>
    <w:p w14:paraId="317F33ED" w14:textId="70F91CCE" w:rsidR="00806F20" w:rsidRDefault="00806F20" w:rsidP="00156AA9">
      <w:pPr>
        <w:rPr>
          <w:rFonts w:ascii="Arial" w:hAnsi="Arial" w:cs="Arial"/>
          <w:bCs/>
          <w:i/>
          <w:sz w:val="20"/>
        </w:rPr>
      </w:pPr>
    </w:p>
    <w:p w14:paraId="1FD30199" w14:textId="77777777" w:rsidR="00806F20" w:rsidRPr="00B14C47" w:rsidRDefault="00806F20" w:rsidP="00156AA9">
      <w:pPr>
        <w:rPr>
          <w:rFonts w:ascii="Arial" w:hAnsi="Arial" w:cs="Arial"/>
          <w:bCs/>
          <w:i/>
          <w:sz w:val="20"/>
        </w:rPr>
      </w:pPr>
    </w:p>
    <w:p w14:paraId="18D09CFC" w14:textId="340719EF" w:rsidR="00B66DF8" w:rsidRPr="00B14C47" w:rsidRDefault="00F24A1B" w:rsidP="00B66DF8">
      <w:pPr>
        <w:pStyle w:val="Heading2"/>
        <w:spacing w:before="0"/>
        <w:rPr>
          <w:rFonts w:ascii="Arial" w:hAnsi="Arial" w:cs="Arial"/>
          <w:i/>
          <w:sz w:val="20"/>
          <w:szCs w:val="20"/>
          <w:lang w:val="bg-BG"/>
        </w:rPr>
      </w:pPr>
      <w:bookmarkStart w:id="16" w:name="_Toc164268324"/>
      <w:bookmarkStart w:id="17" w:name="_Toc247959128"/>
      <w:bookmarkEnd w:id="15"/>
      <w:r w:rsidRPr="00B14C47">
        <w:rPr>
          <w:rFonts w:ascii="Arial" w:hAnsi="Arial" w:cs="Arial"/>
          <w:i/>
          <w:sz w:val="20"/>
          <w:szCs w:val="20"/>
          <w:lang w:val="bg-BG"/>
        </w:rPr>
        <w:t>СЪЩЕСТВЕН</w:t>
      </w:r>
      <w:r>
        <w:rPr>
          <w:rFonts w:ascii="Arial" w:hAnsi="Arial" w:cs="Arial"/>
          <w:i/>
          <w:sz w:val="20"/>
          <w:szCs w:val="20"/>
          <w:lang w:val="bg-BG"/>
        </w:rPr>
        <w:t xml:space="preserve">А ИНФОРМАЦИЯ ЗА </w:t>
      </w:r>
      <w:r w:rsidR="00B66DF8" w:rsidRPr="00B14C47">
        <w:rPr>
          <w:rFonts w:ascii="Arial" w:hAnsi="Arial" w:cs="Arial"/>
          <w:i/>
          <w:sz w:val="20"/>
          <w:szCs w:val="20"/>
          <w:lang w:val="bg-BG"/>
        </w:rPr>
        <w:t>СЧЕТОВОДНИ ПОЛИТИКИ</w:t>
      </w:r>
      <w:bookmarkEnd w:id="16"/>
    </w:p>
    <w:p w14:paraId="16232D37" w14:textId="77777777" w:rsidR="00B66DF8" w:rsidRPr="00B14C47" w:rsidRDefault="00076522" w:rsidP="00B66DF8">
      <w:pPr>
        <w:pStyle w:val="Heading3"/>
        <w:spacing w:before="0"/>
        <w:rPr>
          <w:rFonts w:ascii="Arial" w:hAnsi="Arial" w:cs="Arial"/>
          <w:b w:val="0"/>
          <w:bCs w:val="0"/>
          <w:color w:val="auto"/>
          <w:lang w:val="bg-BG"/>
        </w:rPr>
      </w:pPr>
      <w:bookmarkStart w:id="18" w:name="_Toc96871848"/>
      <w:bookmarkStart w:id="19" w:name="_Toc164268325"/>
      <w:bookmarkEnd w:id="17"/>
      <w:r w:rsidRPr="00B14C47">
        <w:rPr>
          <w:rFonts w:ascii="Arial" w:hAnsi="Arial" w:cs="Arial"/>
          <w:lang w:val="bg-BG"/>
        </w:rPr>
        <w:t>База за изготвяне</w:t>
      </w:r>
      <w:bookmarkEnd w:id="18"/>
      <w:bookmarkEnd w:id="19"/>
    </w:p>
    <w:p w14:paraId="5E8A5D43" w14:textId="77777777" w:rsidR="00B66DF8" w:rsidRPr="00B14C47" w:rsidRDefault="00B66DF8" w:rsidP="00B66DF8">
      <w:pPr>
        <w:rPr>
          <w:rFonts w:ascii="Arial" w:hAnsi="Arial" w:cs="Arial"/>
          <w:sz w:val="20"/>
        </w:rPr>
      </w:pPr>
    </w:p>
    <w:p w14:paraId="7D28BBB6" w14:textId="27EA3111" w:rsidR="00B66DF8" w:rsidRPr="00B14C47" w:rsidRDefault="00B94061" w:rsidP="00B66DF8">
      <w:pPr>
        <w:rPr>
          <w:rFonts w:ascii="Arial" w:hAnsi="Arial" w:cs="Arial"/>
          <w:sz w:val="20"/>
        </w:rPr>
      </w:pPr>
      <w:r>
        <w:rPr>
          <w:rFonts w:ascii="Arial" w:hAnsi="Arial" w:cs="Arial"/>
          <w:sz w:val="20"/>
        </w:rPr>
        <w:t>Този междинен</w:t>
      </w:r>
      <w:r w:rsidR="00B66DF8" w:rsidRPr="00B14C47">
        <w:rPr>
          <w:rFonts w:ascii="Arial" w:hAnsi="Arial" w:cs="Arial"/>
          <w:sz w:val="20"/>
        </w:rPr>
        <w:t xml:space="preserve"> </w:t>
      </w:r>
      <w:r w:rsidR="000562F1" w:rsidRPr="00B14C47">
        <w:rPr>
          <w:rFonts w:ascii="Arial" w:hAnsi="Arial" w:cs="Arial"/>
          <w:sz w:val="20"/>
        </w:rPr>
        <w:t>индивидуален</w:t>
      </w:r>
      <w:r w:rsidR="000562F1" w:rsidRPr="00B14C47">
        <w:rPr>
          <w:rFonts w:ascii="Arial" w:hAnsi="Arial" w:cs="Arial"/>
          <w:color w:val="FF0000"/>
          <w:sz w:val="20"/>
        </w:rPr>
        <w:t xml:space="preserve"> </w:t>
      </w:r>
      <w:r w:rsidR="00B66DF8" w:rsidRPr="00B14C47">
        <w:rPr>
          <w:rFonts w:ascii="Arial" w:hAnsi="Arial" w:cs="Arial"/>
          <w:sz w:val="20"/>
        </w:rPr>
        <w:t xml:space="preserve">финансов отчет е изготвен в съответствие с Международните Стандарти за Финансово Отчитане, издадени от Съвета за Международния Счетоводни Стандарти (СМСС) и всички разяснения издадени от Комитета за Разяснения на МСФО, </w:t>
      </w:r>
      <w:r w:rsidR="00391423" w:rsidRPr="00B14C47">
        <w:rPr>
          <w:rFonts w:ascii="Arial" w:hAnsi="Arial" w:cs="Arial"/>
          <w:sz w:val="20"/>
        </w:rPr>
        <w:t xml:space="preserve">които ефективно са </w:t>
      </w:r>
      <w:r w:rsidR="00B66DF8" w:rsidRPr="00B14C47">
        <w:rPr>
          <w:rFonts w:ascii="Arial" w:hAnsi="Arial" w:cs="Arial"/>
          <w:sz w:val="20"/>
        </w:rPr>
        <w:t xml:space="preserve">в сила на и от 1 януари </w:t>
      </w:r>
      <w:r w:rsidR="00D108F8" w:rsidRPr="00B14C47">
        <w:rPr>
          <w:rFonts w:ascii="Arial" w:hAnsi="Arial" w:cs="Arial"/>
          <w:sz w:val="20"/>
        </w:rPr>
        <w:t>20</w:t>
      </w:r>
      <w:r w:rsidR="00E2262A">
        <w:rPr>
          <w:rFonts w:ascii="Arial" w:hAnsi="Arial" w:cs="Arial"/>
          <w:sz w:val="20"/>
          <w:lang w:val="en-US"/>
        </w:rPr>
        <w:t>23</w:t>
      </w:r>
      <w:r w:rsidR="00D108F8" w:rsidRPr="00B14C47">
        <w:rPr>
          <w:rFonts w:ascii="Arial" w:hAnsi="Arial" w:cs="Arial"/>
          <w:sz w:val="20"/>
        </w:rPr>
        <w:t>г</w:t>
      </w:r>
      <w:r w:rsidR="00B66DF8" w:rsidRPr="00B14C47">
        <w:rPr>
          <w:rFonts w:ascii="Arial" w:hAnsi="Arial" w:cs="Arial"/>
          <w:sz w:val="20"/>
        </w:rPr>
        <w:t xml:space="preserve">. и които са приети от Комисията на </w:t>
      </w:r>
      <w:r w:rsidR="008B70BF" w:rsidRPr="00B14C47">
        <w:rPr>
          <w:rFonts w:ascii="Arial" w:hAnsi="Arial" w:cs="Arial"/>
          <w:sz w:val="20"/>
          <w:lang w:val="en-US"/>
        </w:rPr>
        <w:t>E</w:t>
      </w:r>
      <w:r w:rsidR="00B66DF8" w:rsidRPr="00B14C47">
        <w:rPr>
          <w:rFonts w:ascii="Arial" w:hAnsi="Arial" w:cs="Arial"/>
          <w:sz w:val="20"/>
        </w:rPr>
        <w:t>вропейския съюз.</w:t>
      </w:r>
    </w:p>
    <w:p w14:paraId="1EB6364C" w14:textId="0A628537" w:rsidR="00B66DF8" w:rsidRPr="00B14C47" w:rsidRDefault="00B94061" w:rsidP="00B66DF8">
      <w:pPr>
        <w:rPr>
          <w:rFonts w:ascii="Arial" w:hAnsi="Arial" w:cs="Arial"/>
          <w:sz w:val="20"/>
        </w:rPr>
      </w:pPr>
      <w:r>
        <w:rPr>
          <w:rFonts w:ascii="Arial" w:hAnsi="Arial" w:cs="Arial"/>
          <w:sz w:val="20"/>
        </w:rPr>
        <w:t>Междинният</w:t>
      </w:r>
      <w:r w:rsidR="000562F1" w:rsidRPr="00B14C47">
        <w:rPr>
          <w:rFonts w:ascii="Arial" w:hAnsi="Arial" w:cs="Arial"/>
          <w:sz w:val="20"/>
        </w:rPr>
        <w:t xml:space="preserve"> </w:t>
      </w:r>
      <w:r w:rsidR="00B66DF8" w:rsidRPr="00B14C47">
        <w:rPr>
          <w:rFonts w:ascii="Arial" w:hAnsi="Arial" w:cs="Arial"/>
          <w:sz w:val="20"/>
        </w:rPr>
        <w:t xml:space="preserve"> финансов отчет включва индивидуален</w:t>
      </w:r>
      <w:r w:rsidR="000562F1" w:rsidRPr="00B14C47">
        <w:rPr>
          <w:rFonts w:ascii="Arial" w:hAnsi="Arial" w:cs="Arial"/>
          <w:color w:val="FF0000"/>
          <w:sz w:val="20"/>
        </w:rPr>
        <w:t xml:space="preserve"> </w:t>
      </w:r>
      <w:r w:rsidR="00B66DF8" w:rsidRPr="00B14C47">
        <w:rPr>
          <w:rFonts w:ascii="Arial" w:hAnsi="Arial" w:cs="Arial"/>
          <w:sz w:val="20"/>
        </w:rPr>
        <w:t xml:space="preserve">отчет за печалбата или загубата и другия всеобхватен доход, </w:t>
      </w:r>
      <w:r w:rsidR="000562F1" w:rsidRPr="00B14C47">
        <w:rPr>
          <w:rFonts w:ascii="Arial" w:hAnsi="Arial" w:cs="Arial"/>
          <w:sz w:val="20"/>
        </w:rPr>
        <w:t>индивидуален</w:t>
      </w:r>
      <w:r w:rsidR="000562F1" w:rsidRPr="00B14C47">
        <w:rPr>
          <w:rFonts w:ascii="Arial" w:hAnsi="Arial" w:cs="Arial"/>
          <w:color w:val="FF0000"/>
          <w:sz w:val="20"/>
        </w:rPr>
        <w:t xml:space="preserve"> </w:t>
      </w:r>
      <w:r w:rsidR="00B66DF8" w:rsidRPr="00B14C47">
        <w:rPr>
          <w:rFonts w:ascii="Arial" w:hAnsi="Arial" w:cs="Arial"/>
          <w:sz w:val="20"/>
        </w:rPr>
        <w:t xml:space="preserve">отчет за финансовото състояние, </w:t>
      </w:r>
      <w:r w:rsidR="000562F1" w:rsidRPr="00B14C47">
        <w:rPr>
          <w:rFonts w:ascii="Arial" w:hAnsi="Arial" w:cs="Arial"/>
          <w:sz w:val="20"/>
        </w:rPr>
        <w:t>индивидуален</w:t>
      </w:r>
      <w:r w:rsidR="000562F1" w:rsidRPr="00B14C47">
        <w:rPr>
          <w:rFonts w:ascii="Arial" w:hAnsi="Arial" w:cs="Arial"/>
          <w:color w:val="FF0000"/>
          <w:sz w:val="20"/>
        </w:rPr>
        <w:t xml:space="preserve"> </w:t>
      </w:r>
      <w:r w:rsidR="00B66DF8" w:rsidRPr="00B14C47">
        <w:rPr>
          <w:rFonts w:ascii="Arial" w:hAnsi="Arial" w:cs="Arial"/>
          <w:sz w:val="20"/>
        </w:rPr>
        <w:t xml:space="preserve">отчет за промените в собствения капитал, </w:t>
      </w:r>
      <w:r w:rsidR="000562F1" w:rsidRPr="00B14C47">
        <w:rPr>
          <w:rFonts w:ascii="Arial" w:hAnsi="Arial" w:cs="Arial"/>
          <w:sz w:val="20"/>
        </w:rPr>
        <w:t>индивидуален</w:t>
      </w:r>
      <w:r w:rsidR="000562F1" w:rsidRPr="00B14C47">
        <w:rPr>
          <w:rFonts w:ascii="Arial" w:hAnsi="Arial" w:cs="Arial"/>
          <w:color w:val="FF0000"/>
          <w:sz w:val="20"/>
        </w:rPr>
        <w:t xml:space="preserve"> </w:t>
      </w:r>
      <w:r w:rsidR="00B66DF8" w:rsidRPr="00B14C47">
        <w:rPr>
          <w:rFonts w:ascii="Arial" w:hAnsi="Arial" w:cs="Arial"/>
          <w:sz w:val="20"/>
        </w:rPr>
        <w:t>отчет за паричните потоци, както и пояснителни приложения. Приходи и разходи, с изключение на компоненти на друг вс</w:t>
      </w:r>
      <w:r w:rsidR="00C24495" w:rsidRPr="00B14C47">
        <w:rPr>
          <w:rFonts w:ascii="Arial" w:hAnsi="Arial" w:cs="Arial"/>
          <w:sz w:val="20"/>
        </w:rPr>
        <w:t>еобхватен доход, се признават в печалбата или загубата</w:t>
      </w:r>
      <w:r w:rsidR="00B66DF8" w:rsidRPr="00B14C47">
        <w:rPr>
          <w:rFonts w:ascii="Arial" w:hAnsi="Arial" w:cs="Arial"/>
          <w:sz w:val="20"/>
        </w:rPr>
        <w:t xml:space="preserve">. Друг всеобхватен доход се признава в отчета за печалбата или загубата и другия всеобхватен доход и включва елементи на приходи и разходи (включително корекции от </w:t>
      </w:r>
      <w:r w:rsidR="003F0CE5" w:rsidRPr="00B14C47">
        <w:rPr>
          <w:rFonts w:ascii="Arial" w:hAnsi="Arial" w:cs="Arial"/>
          <w:sz w:val="20"/>
        </w:rPr>
        <w:t>преквалификация</w:t>
      </w:r>
      <w:r w:rsidR="00B66DF8" w:rsidRPr="00B14C47">
        <w:rPr>
          <w:rFonts w:ascii="Arial" w:hAnsi="Arial" w:cs="Arial"/>
          <w:sz w:val="20"/>
        </w:rPr>
        <w:t xml:space="preserve">), които не са признати в </w:t>
      </w:r>
      <w:r w:rsidR="00C24495" w:rsidRPr="00B14C47">
        <w:rPr>
          <w:rFonts w:ascii="Arial" w:hAnsi="Arial" w:cs="Arial"/>
          <w:sz w:val="20"/>
        </w:rPr>
        <w:t>печалбата или загубата</w:t>
      </w:r>
      <w:r w:rsidR="00B66DF8" w:rsidRPr="00B14C47">
        <w:rPr>
          <w:rFonts w:ascii="Arial" w:hAnsi="Arial" w:cs="Arial"/>
          <w:sz w:val="20"/>
        </w:rPr>
        <w:t xml:space="preserve">, както изисква или както е разрешено от МСФО. Корекции от </w:t>
      </w:r>
      <w:r w:rsidR="003F0CE5" w:rsidRPr="00B14C47">
        <w:rPr>
          <w:rFonts w:ascii="Arial" w:hAnsi="Arial" w:cs="Arial"/>
          <w:sz w:val="20"/>
        </w:rPr>
        <w:t>преквалификация</w:t>
      </w:r>
      <w:r w:rsidR="00B66DF8" w:rsidRPr="00B14C47">
        <w:rPr>
          <w:rFonts w:ascii="Arial" w:hAnsi="Arial" w:cs="Arial"/>
          <w:sz w:val="20"/>
        </w:rPr>
        <w:t xml:space="preserve"> са сумите, </w:t>
      </w:r>
      <w:r w:rsidR="003F0CE5" w:rsidRPr="00B14C47">
        <w:rPr>
          <w:rFonts w:ascii="Arial" w:hAnsi="Arial" w:cs="Arial"/>
          <w:sz w:val="20"/>
        </w:rPr>
        <w:t>преквалифицирани</w:t>
      </w:r>
      <w:r w:rsidR="00B66DF8" w:rsidRPr="00B14C47">
        <w:rPr>
          <w:rFonts w:ascii="Arial" w:hAnsi="Arial" w:cs="Arial"/>
          <w:sz w:val="20"/>
        </w:rPr>
        <w:t xml:space="preserve"> в печалба или загуба в отчета за печалбата или загубата и другия всеобхватен доход за текущия период, които са били признати в друг всеобхватен доход през текущия и предходни периоди. Транзакции със собствениците на Дружеството в качеството им на собственици се признават в отчета за промените в собствения капитал.</w:t>
      </w:r>
    </w:p>
    <w:p w14:paraId="4F4DBAC7" w14:textId="77777777" w:rsidR="002F7DFE" w:rsidRPr="00B14C47" w:rsidRDefault="00B66DF8" w:rsidP="002F7DFE">
      <w:pPr>
        <w:pStyle w:val="HTMLPreformatted"/>
        <w:jc w:val="both"/>
        <w:rPr>
          <w:rFonts w:ascii="Arial" w:hAnsi="Arial" w:cs="Arial"/>
          <w:sz w:val="20"/>
          <w:szCs w:val="20"/>
        </w:rPr>
      </w:pPr>
      <w:r w:rsidRPr="00B14C47">
        <w:rPr>
          <w:rFonts w:ascii="Arial" w:hAnsi="Arial" w:cs="Arial"/>
          <w:sz w:val="20"/>
          <w:szCs w:val="20"/>
        </w:rPr>
        <w:t xml:space="preserve">Дружеството избира да представи един </w:t>
      </w:r>
      <w:r w:rsidR="002F7DFE" w:rsidRPr="00B14C47">
        <w:rPr>
          <w:rFonts w:ascii="Arial" w:hAnsi="Arial" w:cs="Arial"/>
          <w:sz w:val="20"/>
          <w:szCs w:val="20"/>
        </w:rPr>
        <w:t xml:space="preserve">индивидуален </w:t>
      </w:r>
      <w:r w:rsidRPr="00B14C47">
        <w:rPr>
          <w:rFonts w:ascii="Arial" w:hAnsi="Arial" w:cs="Arial"/>
          <w:sz w:val="20"/>
          <w:szCs w:val="20"/>
        </w:rPr>
        <w:t>отчет за печалбата или загубата и другия всеобхватен доход</w:t>
      </w:r>
      <w:r w:rsidR="002F7DFE" w:rsidRPr="00B14C47">
        <w:rPr>
          <w:rFonts w:ascii="Arial" w:hAnsi="Arial" w:cs="Arial"/>
          <w:sz w:val="20"/>
          <w:szCs w:val="20"/>
        </w:rPr>
        <w:t xml:space="preserve"> и да представи печалбата или загубата и другия всеобхватен доход в два раздела. Разделите се представят заедно, като този за печалбата или загубата е първи, следван непосредствено от раздела за другия всеобхватен доход.</w:t>
      </w:r>
    </w:p>
    <w:p w14:paraId="740354D5" w14:textId="77777777" w:rsidR="00B66DF8" w:rsidRPr="00B14C47" w:rsidRDefault="00B66DF8" w:rsidP="00B66DF8">
      <w:pPr>
        <w:pStyle w:val="HTMLPreformatted"/>
        <w:jc w:val="both"/>
        <w:rPr>
          <w:rFonts w:ascii="Arial" w:hAnsi="Arial" w:cs="Arial"/>
          <w:sz w:val="20"/>
          <w:szCs w:val="20"/>
        </w:rPr>
      </w:pPr>
    </w:p>
    <w:p w14:paraId="3EDA68D7" w14:textId="77777777" w:rsidR="00B66DF8" w:rsidRPr="00B14C47" w:rsidRDefault="00B66DF8" w:rsidP="003833F6">
      <w:pPr>
        <w:rPr>
          <w:rFonts w:ascii="Arial" w:hAnsi="Arial" w:cs="Arial"/>
          <w:color w:val="FF0000"/>
          <w:sz w:val="20"/>
        </w:rPr>
      </w:pPr>
      <w:r w:rsidRPr="00B14C47">
        <w:rPr>
          <w:rFonts w:ascii="Arial" w:hAnsi="Arial" w:cs="Arial"/>
          <w:sz w:val="20"/>
        </w:rPr>
        <w:t xml:space="preserve">Дружеството избира да представя </w:t>
      </w:r>
      <w:r w:rsidR="002F7DFE" w:rsidRPr="00B14C47">
        <w:rPr>
          <w:rFonts w:ascii="Arial" w:hAnsi="Arial" w:cs="Arial"/>
          <w:sz w:val="20"/>
        </w:rPr>
        <w:t xml:space="preserve">индивидуалния </w:t>
      </w:r>
      <w:r w:rsidRPr="00B14C47">
        <w:rPr>
          <w:rFonts w:ascii="Arial" w:hAnsi="Arial" w:cs="Arial"/>
          <w:sz w:val="20"/>
        </w:rPr>
        <w:t xml:space="preserve">отчет за печалбата или загубата и другия всеобхватен доход, като при класификацията използва метода „същност на разходите”. </w:t>
      </w:r>
    </w:p>
    <w:p w14:paraId="5BF4C483" w14:textId="77777777" w:rsidR="00B66DF8" w:rsidRPr="00B14C47" w:rsidRDefault="00B66DF8" w:rsidP="00B66DF8">
      <w:pPr>
        <w:rPr>
          <w:rFonts w:ascii="Arial" w:hAnsi="Arial" w:cs="Arial"/>
          <w:sz w:val="20"/>
        </w:rPr>
      </w:pPr>
      <w:r w:rsidRPr="00B14C47">
        <w:rPr>
          <w:rFonts w:ascii="Arial" w:hAnsi="Arial" w:cs="Arial"/>
          <w:sz w:val="20"/>
        </w:rPr>
        <w:t xml:space="preserve">Форматът на </w:t>
      </w:r>
      <w:r w:rsidR="002F7DFE" w:rsidRPr="00B14C47">
        <w:rPr>
          <w:rFonts w:ascii="Arial" w:hAnsi="Arial" w:cs="Arial"/>
          <w:sz w:val="20"/>
        </w:rPr>
        <w:t xml:space="preserve">индивидуалния </w:t>
      </w:r>
      <w:r w:rsidRPr="00B14C47">
        <w:rPr>
          <w:rFonts w:ascii="Arial" w:hAnsi="Arial" w:cs="Arial"/>
          <w:sz w:val="20"/>
        </w:rPr>
        <w:t xml:space="preserve">отчет за финансовото състояние е базиран на разграничението текущ/нетекущ. </w:t>
      </w:r>
    </w:p>
    <w:p w14:paraId="5823CF92" w14:textId="77777777" w:rsidR="00B66DF8" w:rsidRPr="00B14C47" w:rsidRDefault="00B66DF8" w:rsidP="00B66DF8">
      <w:pPr>
        <w:rPr>
          <w:rFonts w:ascii="Arial" w:hAnsi="Arial" w:cs="Arial"/>
          <w:sz w:val="20"/>
        </w:rPr>
      </w:pPr>
    </w:p>
    <w:p w14:paraId="0594A42D" w14:textId="77777777" w:rsidR="005C0D20" w:rsidRPr="005C0D20" w:rsidRDefault="005C0D20" w:rsidP="005C0D20">
      <w:pPr>
        <w:rPr>
          <w:rFonts w:ascii="Arial" w:hAnsi="Arial" w:cs="Arial"/>
          <w:sz w:val="20"/>
        </w:rPr>
      </w:pPr>
      <w:bookmarkStart w:id="20" w:name="_Toc247959129"/>
      <w:r w:rsidRPr="005C0D20">
        <w:rPr>
          <w:rFonts w:ascii="Arial" w:hAnsi="Arial" w:cs="Arial"/>
          <w:sz w:val="20"/>
        </w:rPr>
        <w:t xml:space="preserve">За текущата финансова година Дружеството е приело всички нови и/или ревизирани стандарти и тълкувания, издадени от Съвета по Международни счетоводни стандарти (СМСС) и респ. от Комитета за разяснения на МСФО, които са били уместни за неговата дейност. </w:t>
      </w:r>
    </w:p>
    <w:p w14:paraId="326B0BF8" w14:textId="77777777" w:rsidR="005C0D20" w:rsidRPr="005C0D20" w:rsidRDefault="005C0D20" w:rsidP="005C0D20">
      <w:pPr>
        <w:rPr>
          <w:rFonts w:ascii="Arial" w:hAnsi="Arial" w:cs="Arial"/>
          <w:sz w:val="20"/>
        </w:rPr>
      </w:pPr>
      <w:r w:rsidRPr="005C0D20">
        <w:rPr>
          <w:rFonts w:ascii="Arial" w:hAnsi="Arial" w:cs="Arial"/>
          <w:sz w:val="20"/>
        </w:rPr>
        <w:t>От възприемането на тези стандарти и/или тълкувания, в сила за годишни периоди започващи на 1 януари 2023 г., не са настъпили промени в счетоводната политика на дружеството, освен някои нови и разширяването на вече установени оповестявания, без това да доведе до други промени във финансовите резултати, класификацията или оценката на отделни отчетни обекти и операции.</w:t>
      </w:r>
    </w:p>
    <w:p w14:paraId="4FB6F6B8" w14:textId="77777777" w:rsidR="005C0D20" w:rsidRPr="005C0D20" w:rsidRDefault="005C0D20" w:rsidP="005C0D20">
      <w:pPr>
        <w:rPr>
          <w:rFonts w:ascii="Arial" w:hAnsi="Arial" w:cs="Arial"/>
          <w:sz w:val="20"/>
        </w:rPr>
      </w:pPr>
      <w:r w:rsidRPr="005C0D20">
        <w:rPr>
          <w:rFonts w:ascii="Arial" w:hAnsi="Arial" w:cs="Arial"/>
          <w:sz w:val="20"/>
        </w:rPr>
        <w:t>Следните изменения на съществуващите стандарти, издадени от Съвета по международни счетоводни стандарти и приети за прилагане от ЕС, са в сила от 1 януари 2023 година:</w:t>
      </w:r>
    </w:p>
    <w:p w14:paraId="3923D194" w14:textId="77777777" w:rsidR="005C0D20" w:rsidRPr="005C0D20" w:rsidRDefault="005C0D20" w:rsidP="005C0D20">
      <w:pPr>
        <w:rPr>
          <w:rFonts w:ascii="Arial" w:hAnsi="Arial" w:cs="Arial"/>
          <w:sz w:val="20"/>
        </w:rPr>
      </w:pPr>
    </w:p>
    <w:p w14:paraId="2E2BE159" w14:textId="224C3573" w:rsidR="005C0D20" w:rsidRPr="005C0D20" w:rsidRDefault="005C0D20" w:rsidP="005C0D20">
      <w:pPr>
        <w:rPr>
          <w:rFonts w:ascii="Arial" w:hAnsi="Arial" w:cs="Arial"/>
          <w:sz w:val="20"/>
        </w:rPr>
      </w:pPr>
      <w:bookmarkStart w:id="21" w:name="_Hlk155182830"/>
      <w:r w:rsidRPr="00CA29CF">
        <w:rPr>
          <w:rFonts w:ascii="Arial" w:hAnsi="Arial" w:cs="Arial"/>
          <w:i/>
          <w:iCs/>
          <w:sz w:val="20"/>
        </w:rPr>
        <w:t>• Промени в МСС 1 Представяне на финансови отчети и МСФО Практическо изявление 2: Оповестяване на счетоводни политики и в МСС 8 Счетоводна политика, промени в счетоводните приблизителни оценки и грешки</w:t>
      </w:r>
      <w:r w:rsidR="00CA29CF">
        <w:rPr>
          <w:rFonts w:ascii="Arial" w:hAnsi="Arial" w:cs="Arial"/>
          <w:sz w:val="20"/>
          <w:lang w:val="en-US"/>
        </w:rPr>
        <w:t>.</w:t>
      </w:r>
      <w:r w:rsidRPr="005C0D20">
        <w:rPr>
          <w:rFonts w:ascii="Arial" w:hAnsi="Arial" w:cs="Arial"/>
          <w:sz w:val="20"/>
        </w:rPr>
        <w:t xml:space="preserve">  С измененията в МСС 1 и МСС 8 се изясняват разликите между счетоводните политики и счетоводните приблизителни оценки с цел да се подобри последователното прилагане на счетоводните стандарти и съпоставимостта на финансовите отчети. Обясняват как предприятията могат да идентифицират съществена информацията относно счетоводните политики и да дават примери кога информация за счетоводните политики е вероятно да бъде съществена. Поясняват, че информацията за счетоводните политики може да бъде съществена, поради своята същност, дори и когато съответните суми са несъществени. С промените се пояснява, че информацията за счетоводните политики е съществена, ако е необходима на потребителите на финансовите отчети на предприятието за разбирането на друга съществена информация във финансовите отчети и ако предприятието оповестява несъществена информация за счетоводните политики, това не следва да води до прикриване на съществена информация за счетоводните политики. Изменението на МСС 8 Счетоводни политики, промени в </w:t>
      </w:r>
      <w:r w:rsidRPr="005C0D20">
        <w:rPr>
          <w:rFonts w:ascii="Arial" w:hAnsi="Arial" w:cs="Arial"/>
          <w:sz w:val="20"/>
        </w:rPr>
        <w:lastRenderedPageBreak/>
        <w:t>счетоводните оценки и грешки изяснява как компаниите трябва да разграничават промените в счетоводните политики от промените в счетоводните оценки. Разграничението е важно, тъй като промените в счетоводните оценки се прилагат перспективно към бъдещи транзакции и други бъдещи събития, докато промените в счетоводната политика обикновено се прилагат ретроспективно към минали транзакции и други минали събития, както и към текущия период.</w:t>
      </w:r>
    </w:p>
    <w:p w14:paraId="6470F137" w14:textId="77777777" w:rsidR="005C0D20" w:rsidRPr="005C0D20" w:rsidRDefault="005C0D20" w:rsidP="005C0D20">
      <w:pPr>
        <w:rPr>
          <w:rFonts w:ascii="Arial" w:hAnsi="Arial" w:cs="Arial"/>
          <w:sz w:val="20"/>
        </w:rPr>
      </w:pPr>
    </w:p>
    <w:p w14:paraId="5BE2BBAC" w14:textId="77777777" w:rsidR="005C0D20" w:rsidRPr="005C0D20" w:rsidRDefault="005C0D20" w:rsidP="005C0D20">
      <w:pPr>
        <w:rPr>
          <w:rFonts w:ascii="Arial" w:hAnsi="Arial" w:cs="Arial"/>
          <w:sz w:val="20"/>
        </w:rPr>
      </w:pPr>
      <w:r w:rsidRPr="00CA29CF">
        <w:rPr>
          <w:rFonts w:ascii="Arial" w:hAnsi="Arial" w:cs="Arial"/>
          <w:i/>
          <w:iCs/>
          <w:sz w:val="20"/>
        </w:rPr>
        <w:t xml:space="preserve">•Изменения в МСС 12 Данъци върху дохода - </w:t>
      </w:r>
      <w:bookmarkStart w:id="22" w:name="_Hlk155170233"/>
      <w:r w:rsidRPr="00CA29CF">
        <w:rPr>
          <w:rFonts w:ascii="Arial" w:hAnsi="Arial" w:cs="Arial"/>
          <w:i/>
          <w:iCs/>
          <w:sz w:val="20"/>
        </w:rPr>
        <w:t>относно отсрочени данъци, свързани с активи и пасиви, произтичащи от единична транзакция</w:t>
      </w:r>
      <w:bookmarkEnd w:id="22"/>
      <w:r w:rsidRPr="00CA29CF">
        <w:rPr>
          <w:rFonts w:ascii="Arial" w:hAnsi="Arial" w:cs="Arial"/>
          <w:i/>
          <w:iCs/>
          <w:sz w:val="20"/>
        </w:rPr>
        <w:t>.</w:t>
      </w:r>
      <w:r w:rsidRPr="005C0D20">
        <w:rPr>
          <w:rFonts w:ascii="Arial" w:hAnsi="Arial" w:cs="Arial"/>
          <w:sz w:val="20"/>
        </w:rPr>
        <w:t xml:space="preserve"> </w:t>
      </w:r>
      <w:bookmarkStart w:id="23" w:name="_Hlk155170263"/>
      <w:r w:rsidRPr="005C0D20">
        <w:rPr>
          <w:rFonts w:ascii="Arial" w:hAnsi="Arial" w:cs="Arial"/>
          <w:sz w:val="20"/>
        </w:rPr>
        <w:t>Измененията ограничават обхвата на освобождаване от признаване на отсрочени данъчни пасиви, вследствие на което то не се прилага за транзакции, при които при първоначално признаване, възникват равни по размер облагаеми и подлежащи на приспадане временни разлики. Такива транзакции са признаването на актив “право на ползване” и задължения по лизинг от лизингополучателите на датата на стартиране на лизинга, както и при начисляване на задължения за демонтаж, преместване и възстановяване, включени в себестойността на съответния актив. С влизане в сила на измененията предприятията следва да признаят всеки отсрочен данъчен актив (до степента, до която е вероятно да съществува облагаема печалба, срещу която да могат да се използват намаляемите временни разлики) и отсрочен данъчен пасив (за всички облагаеми временни разлики) съобразно критериите на МСС 12 за сделки, свързани с активи и пасиви, произтичащи от единични транзакции на или след началото на най-ранния представен във финансовия отчет сравнителен период. Предприятията признават кумулативния ефект от първоначалното прилагане на измененията като корекция на началното салдо на неразпределената печалба или друг компонент на собствения капитал, ако е подходящо към тази дата</w:t>
      </w:r>
      <w:bookmarkEnd w:id="23"/>
      <w:r w:rsidRPr="005C0D20">
        <w:rPr>
          <w:rFonts w:ascii="Arial" w:hAnsi="Arial" w:cs="Arial"/>
          <w:sz w:val="20"/>
        </w:rPr>
        <w:t>. Ръководството е направило проучване и е определило, че тези промени не оказват съществено влияние върху счетоводната политика и върху стойностите и класификацията на активите, пасивите, операциите и резултатите на дружеството.</w:t>
      </w:r>
    </w:p>
    <w:p w14:paraId="43092869" w14:textId="22CA57B1" w:rsidR="005C0D20" w:rsidRPr="00F24A1B" w:rsidRDefault="005C0D20" w:rsidP="005C0D20">
      <w:pPr>
        <w:rPr>
          <w:rFonts w:ascii="Arial" w:hAnsi="Arial" w:cs="Arial"/>
          <w:sz w:val="20"/>
        </w:rPr>
      </w:pPr>
      <w:bookmarkStart w:id="24" w:name="_Hlk155168846"/>
      <w:r w:rsidRPr="00CA29CF">
        <w:rPr>
          <w:rFonts w:ascii="Arial" w:hAnsi="Arial" w:cs="Arial"/>
          <w:i/>
          <w:iCs/>
          <w:sz w:val="20"/>
        </w:rPr>
        <w:t xml:space="preserve">•Изменения в МСС 12 Данъци върху дохода - </w:t>
      </w:r>
      <w:bookmarkStart w:id="25" w:name="_Hlk155188064"/>
      <w:bookmarkStart w:id="26" w:name="_Hlk155170288"/>
      <w:r w:rsidRPr="00CA29CF">
        <w:rPr>
          <w:rFonts w:ascii="Arial" w:hAnsi="Arial" w:cs="Arial"/>
          <w:i/>
          <w:iCs/>
          <w:sz w:val="20"/>
        </w:rPr>
        <w:t>относно данъци върху дохода от втори стълб, свързани с международна данъчна реформа</w:t>
      </w:r>
      <w:bookmarkEnd w:id="25"/>
      <w:r w:rsidRPr="00CA29CF">
        <w:rPr>
          <w:rFonts w:ascii="Arial" w:hAnsi="Arial" w:cs="Arial"/>
          <w:i/>
          <w:iCs/>
          <w:sz w:val="20"/>
        </w:rPr>
        <w:t>.</w:t>
      </w:r>
      <w:r w:rsidRPr="005C0D20">
        <w:rPr>
          <w:rFonts w:ascii="Arial" w:hAnsi="Arial" w:cs="Arial"/>
          <w:sz w:val="20"/>
        </w:rPr>
        <w:t xml:space="preserve"> Прието е като изключение от изискванията на Стандарта, да не се признават отсрочени данъчни активи и пасиви, свързани с данъците върху дохода от втория стълб, нито да се оповестява информация за тях. Изисква се Дружеството да оповести, че е приложило изключението, както и да оповести отделно разходите /приходите/за /от/ текущи данъци, свързани с данъците върху дохода от втори стълб. Когато има приети или почти приети законодателни актове относно данъци от втори стълб, които все още не са влезли в сила, следва да се оповести известната или подлежаща на приблизително оценяване при разумни усилия информация, която да помогне на ползвателите на финансовите отчети да разберат доколко Дружест</w:t>
      </w:r>
      <w:r w:rsidRPr="00806F20">
        <w:rPr>
          <w:rFonts w:ascii="Arial" w:hAnsi="Arial" w:cs="Arial"/>
          <w:sz w:val="20"/>
        </w:rPr>
        <w:t>вото е изложено на данъци върху дохода от втори стълб, произтичащи от тези законодателни актове.</w:t>
      </w:r>
      <w:bookmarkEnd w:id="24"/>
      <w:r w:rsidRPr="00806F20">
        <w:rPr>
          <w:rFonts w:ascii="Arial" w:hAnsi="Arial" w:cs="Arial"/>
          <w:sz w:val="20"/>
        </w:rPr>
        <w:t xml:space="preserve">  Измененията включват Примери за оповестяване на информация, така, че да се изпълнят изискванията на параграфи 88в-88г. </w:t>
      </w:r>
      <w:bookmarkEnd w:id="26"/>
      <w:r w:rsidRPr="00806F20">
        <w:rPr>
          <w:rFonts w:ascii="Arial" w:hAnsi="Arial" w:cs="Arial"/>
          <w:sz w:val="20"/>
        </w:rPr>
        <w:t>Измененията приети от ЕК и публикувани през м.Ноември 2023</w:t>
      </w:r>
      <w:r w:rsidRPr="00F24A1B">
        <w:rPr>
          <w:rFonts w:ascii="Arial" w:hAnsi="Arial" w:cs="Arial"/>
          <w:sz w:val="20"/>
        </w:rPr>
        <w:t xml:space="preserve">г. се прилагат за годишни отчетни периоди започващи на 1 януари 2023г. или след тази дата. </w:t>
      </w:r>
      <w:r w:rsidR="00806F20" w:rsidRPr="00F24A1B">
        <w:rPr>
          <w:rFonts w:ascii="Arial" w:hAnsi="Arial" w:cs="Arial"/>
          <w:sz w:val="20"/>
        </w:rPr>
        <w:t>Оценката на този етап показва, че нямат ефект върху</w:t>
      </w:r>
      <w:r w:rsidRPr="00F24A1B">
        <w:rPr>
          <w:rFonts w:ascii="Arial" w:hAnsi="Arial" w:cs="Arial"/>
          <w:sz w:val="20"/>
        </w:rPr>
        <w:t xml:space="preserve"> дружеството</w:t>
      </w:r>
      <w:r w:rsidR="00806F20" w:rsidRPr="00CA29CF">
        <w:rPr>
          <w:rFonts w:ascii="Arial" w:hAnsi="Arial" w:cs="Arial"/>
          <w:noProof/>
          <w:sz w:val="20"/>
        </w:rPr>
        <w:t>, като е направено подходящо оповестяване.</w:t>
      </w:r>
      <w:r w:rsidRPr="00F24A1B">
        <w:rPr>
          <w:rFonts w:ascii="Arial" w:hAnsi="Arial" w:cs="Arial"/>
          <w:sz w:val="20"/>
        </w:rPr>
        <w:t>.</w:t>
      </w:r>
    </w:p>
    <w:p w14:paraId="79CA79E1" w14:textId="3878230D" w:rsidR="005C0D20" w:rsidRPr="005C0D20" w:rsidRDefault="00CA29CF" w:rsidP="005C0D20">
      <w:pPr>
        <w:rPr>
          <w:rFonts w:ascii="Arial" w:hAnsi="Arial" w:cs="Arial"/>
          <w:sz w:val="20"/>
        </w:rPr>
      </w:pPr>
      <w:r w:rsidRPr="00CA29CF">
        <w:rPr>
          <w:rFonts w:ascii="Arial" w:hAnsi="Arial" w:cs="Arial"/>
          <w:i/>
          <w:iCs/>
          <w:sz w:val="20"/>
        </w:rPr>
        <w:t>•</w:t>
      </w:r>
      <w:r w:rsidR="005C0D20" w:rsidRPr="00CA29CF">
        <w:rPr>
          <w:rFonts w:ascii="Arial" w:hAnsi="Arial" w:cs="Arial"/>
          <w:i/>
          <w:iCs/>
          <w:sz w:val="20"/>
        </w:rPr>
        <w:t>МСФО 17 „Застрахователни договори” – През май 2017 г. СМСС публикува МСФО 17 Застрахователни договори (МСФО 17), изчерпателен нов счетоводен стандарт за застрахователни договори, обхващащ признаването и оценяването, представянето и оповестяването. С влизането му в сила, МСФО 17 замен</w:t>
      </w:r>
      <w:r>
        <w:rPr>
          <w:rFonts w:ascii="Arial" w:hAnsi="Arial" w:cs="Arial"/>
          <w:i/>
          <w:iCs/>
          <w:sz w:val="20"/>
        </w:rPr>
        <w:t>я</w:t>
      </w:r>
      <w:r w:rsidR="005C0D20" w:rsidRPr="00CA29CF">
        <w:rPr>
          <w:rFonts w:ascii="Arial" w:hAnsi="Arial" w:cs="Arial"/>
          <w:i/>
          <w:iCs/>
          <w:sz w:val="20"/>
        </w:rPr>
        <w:t xml:space="preserve"> МСФО 4 Застрахователни договори (МСФО 4), който беше публикуван през 2005 г.</w:t>
      </w:r>
      <w:r w:rsidR="005C0D20" w:rsidRPr="005C0D20">
        <w:rPr>
          <w:rFonts w:ascii="Arial" w:hAnsi="Arial" w:cs="Arial"/>
          <w:sz w:val="20"/>
        </w:rPr>
        <w:t xml:space="preserve"> МСФО 17 се прилага към всички видове застрахователни договори (т.е. животозастраховане, общо застраховане, пряко застраховане и презастраховане), независимо от вида на предприятията, които ги издават, както и по отношение на определени гаранции и финансови инструменти с допълнителен, негарантиран доход (участие по преценка). Ще се прилагат малко на брой изключения от обхвата. Общата цел на МСФО 17 е да осигури счетоводен модел на застрахователните договори, който е по-полезен и последователен за застрахователите. Той не е приложим за дейността на дружеството, поради което ръководството не е оценявало неговото приложение.</w:t>
      </w:r>
    </w:p>
    <w:p w14:paraId="67B2AFF0" w14:textId="6246E5A8" w:rsidR="005C0D20" w:rsidRPr="005C0D20" w:rsidRDefault="00CA29CF" w:rsidP="005C0D20">
      <w:pPr>
        <w:rPr>
          <w:rFonts w:ascii="Arial" w:hAnsi="Arial" w:cs="Arial"/>
          <w:sz w:val="20"/>
        </w:rPr>
      </w:pPr>
      <w:r w:rsidRPr="00CA29CF">
        <w:rPr>
          <w:rFonts w:ascii="Arial" w:hAnsi="Arial" w:cs="Arial"/>
          <w:i/>
          <w:iCs/>
          <w:sz w:val="20"/>
        </w:rPr>
        <w:t>•</w:t>
      </w:r>
      <w:r w:rsidR="005C0D20" w:rsidRPr="00CA29CF">
        <w:rPr>
          <w:rFonts w:ascii="Arial" w:hAnsi="Arial" w:cs="Arial"/>
          <w:i/>
          <w:iCs/>
          <w:sz w:val="20"/>
        </w:rPr>
        <w:t>Подобрения на МСФО 17 „Застрахователни договори“ - Изменения са свързани с първоначалното прилагане на МСФО 17 и МСФО 9 – сравнителна информация.</w:t>
      </w:r>
      <w:r w:rsidR="005C0D20" w:rsidRPr="005C0D20">
        <w:rPr>
          <w:rFonts w:ascii="Arial" w:hAnsi="Arial" w:cs="Arial"/>
          <w:sz w:val="20"/>
        </w:rPr>
        <w:t xml:space="preserve"> С тях се добавя опция за преход отнасяща се до сравнителна информация за финансови активи при първоначално прилагане на МСФО 17 с цел намаляване на счетоводни несъответствия, възникващи между финансови активи и задължения по застрахователни договори в сравнителната информация при първоначално прилагане на МСФО 17 и МСФО 9. Прилагането на промените е по избор и се отнасят само до представянето на сравнителната информация при първоначално прилагане на МСФО 17. Не са приложими за дейността на дружеството, поради което ръководството не е оценявало приложението им.</w:t>
      </w:r>
    </w:p>
    <w:bookmarkEnd w:id="21"/>
    <w:p w14:paraId="4D146620" w14:textId="77777777" w:rsidR="005C0D20" w:rsidRPr="005C0D20" w:rsidRDefault="005C0D20" w:rsidP="005C0D20">
      <w:pPr>
        <w:rPr>
          <w:rFonts w:ascii="Arial" w:hAnsi="Arial" w:cs="Arial"/>
          <w:sz w:val="20"/>
        </w:rPr>
      </w:pPr>
    </w:p>
    <w:p w14:paraId="229EAE99" w14:textId="77777777" w:rsidR="005C0D20" w:rsidRPr="005C0D20" w:rsidRDefault="005C0D20" w:rsidP="005C0D20">
      <w:pPr>
        <w:rPr>
          <w:rFonts w:ascii="Arial" w:hAnsi="Arial" w:cs="Arial"/>
          <w:sz w:val="20"/>
        </w:rPr>
      </w:pPr>
      <w:r w:rsidRPr="005C0D20">
        <w:rPr>
          <w:rFonts w:ascii="Arial" w:hAnsi="Arial" w:cs="Arial"/>
          <w:sz w:val="20"/>
        </w:rPr>
        <w:t>Следните нови или ревизирани стандарти, нови разяснения и промени към съществуващи стандарти, които към отчетната дата са издадени от Съвета по международни счетоводни стандарти (СМСС), но все още не са в сила за годишни периоди, започващи на 1 януари 2023г. или не са одобрени за прилагане от ЕС и съответно не са взети предвид при изготвянето на настоящия финансов отчет:</w:t>
      </w:r>
    </w:p>
    <w:p w14:paraId="3C9CD64F" w14:textId="68C20158" w:rsidR="005C0D20" w:rsidRPr="005C0D20" w:rsidRDefault="00CA29CF" w:rsidP="005C0D20">
      <w:pPr>
        <w:rPr>
          <w:rFonts w:ascii="Arial" w:hAnsi="Arial" w:cs="Arial"/>
          <w:sz w:val="20"/>
        </w:rPr>
      </w:pPr>
      <w:r w:rsidRPr="00CA29CF">
        <w:rPr>
          <w:rFonts w:ascii="Arial" w:hAnsi="Arial" w:cs="Arial"/>
          <w:i/>
          <w:iCs/>
          <w:sz w:val="20"/>
        </w:rPr>
        <w:t>•</w:t>
      </w:r>
      <w:r w:rsidR="005C0D20" w:rsidRPr="005C0D20">
        <w:rPr>
          <w:rFonts w:ascii="Arial" w:hAnsi="Arial" w:cs="Arial"/>
          <w:sz w:val="20"/>
        </w:rPr>
        <w:t>Изменения в МСФО 10  „Консолидирани финансови отчети“ и МСС 28 „Инвестиции в асоциирани и съвместни предприятия“ (с отложена ефективна дата на влизане в сила, подлежаща на определяне от СМСС) – относно продажби или апорт на активи между инвеститор и негови асоциирани или съвместни предприятия (с отложена ефективна дата на влизане в сила, подлежаща на определяне от СМСС). Тези промени са насочени към решаването на счетоводното третиране на продажбите или апортите на активи между инвеститор и негови асоциирани или съвместни предприятия. Те потвърждават, че счетоводното третиране зависи дали продаваните активи или апортираните немонетарни активи, конституират или не по същество „бизнес” по смисъла на МСФО 3. Ако тези активи като съвкупност не отговарят на определението за „бизнес” инвеститорът признава печалба или загуба до процента, съответстващ на дела на другите несвързани инвеститори в асоциираното или съвместното предприятие. В случаите когато се продават активи или се апортират немонетарни активи, които като съвкупност са „бизнес”, инвеститорът признава изцяло печалбата или загубата от транзакцията. Тези промени ще се прилагат перспективно. СММС отложи началната дата на приложение на тези промени за неопределено време. 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283057BF" w14:textId="088C518E" w:rsidR="005C0D20" w:rsidRPr="005C0D20" w:rsidRDefault="00CA29CF" w:rsidP="005C0D20">
      <w:pPr>
        <w:rPr>
          <w:rFonts w:ascii="Arial" w:hAnsi="Arial" w:cs="Arial"/>
          <w:sz w:val="20"/>
        </w:rPr>
      </w:pPr>
      <w:r w:rsidRPr="00CA29CF">
        <w:rPr>
          <w:rFonts w:ascii="Arial" w:hAnsi="Arial" w:cs="Arial"/>
          <w:i/>
          <w:iCs/>
          <w:sz w:val="20"/>
        </w:rPr>
        <w:t>•</w:t>
      </w:r>
      <w:r w:rsidR="005C0D20" w:rsidRPr="005C0D20">
        <w:rPr>
          <w:rFonts w:ascii="Arial" w:hAnsi="Arial" w:cs="Arial"/>
          <w:sz w:val="20"/>
        </w:rPr>
        <w:t>Изменения в МСС 1 „Представяне на финансови отчети“ - (в сила за годишни периоди, започващи на или след 1 януари 2024 г., приети от ЕК). Измененията в МСС 1 Представяне на финансови отчети изясняват, че пасивите се класифицират като текущи или нетекущи в зависимост от правата, които съществуват в края на отчетния период. Класификацията не се влияе от очакванията на предприятието или събитията след датата на отчитане (напр. нарушение на споразумението). Измененията също така изясняват какво се има в предвид, когато в МСС 1 се реферира към „уреждане“ на пасив. Тези първоначални изменения на МСС 1 са публикувани през 2020г..</w:t>
      </w:r>
    </w:p>
    <w:p w14:paraId="61A304DD" w14:textId="77777777" w:rsidR="005C0D20" w:rsidRPr="005C0D20" w:rsidRDefault="005C0D20" w:rsidP="005C0D20">
      <w:pPr>
        <w:rPr>
          <w:rFonts w:ascii="Arial" w:hAnsi="Arial" w:cs="Arial"/>
          <w:sz w:val="20"/>
        </w:rPr>
      </w:pPr>
      <w:r w:rsidRPr="005C0D20">
        <w:rPr>
          <w:rFonts w:ascii="Arial" w:hAnsi="Arial" w:cs="Arial"/>
          <w:sz w:val="20"/>
        </w:rPr>
        <w:t xml:space="preserve">Измененията могат да повлияят на класификацията на пасивите, особено за субектите, които преди са обмисляли намеренията на ръководството да определи класификацията, както и за някои пасиви, които могат да бъдат преобразувани в собствен капитал. </w:t>
      </w:r>
    </w:p>
    <w:p w14:paraId="45FE8141" w14:textId="77777777" w:rsidR="005C0D20" w:rsidRPr="005C0D20" w:rsidRDefault="005C0D20" w:rsidP="005C0D20">
      <w:pPr>
        <w:rPr>
          <w:rFonts w:ascii="Arial" w:hAnsi="Arial" w:cs="Arial"/>
          <w:sz w:val="20"/>
        </w:rPr>
      </w:pPr>
      <w:r w:rsidRPr="005C0D20">
        <w:rPr>
          <w:rFonts w:ascii="Arial" w:hAnsi="Arial" w:cs="Arial"/>
          <w:sz w:val="20"/>
        </w:rPr>
        <w:t>Промените трябва да се прилагат ретроспективно в съответствие с нормалните изисквания в МСС 8 Счетоводни политики, промени в счетоводните оценки и грешки.</w:t>
      </w:r>
    </w:p>
    <w:p w14:paraId="4FB174D4" w14:textId="77777777" w:rsidR="005C0D20" w:rsidRPr="005C0D20" w:rsidRDefault="005C0D20" w:rsidP="005C0D20">
      <w:pPr>
        <w:rPr>
          <w:rFonts w:ascii="Arial" w:hAnsi="Arial" w:cs="Arial"/>
          <w:sz w:val="20"/>
        </w:rPr>
      </w:pPr>
      <w:r w:rsidRPr="005C0D20">
        <w:rPr>
          <w:rFonts w:ascii="Arial" w:hAnsi="Arial" w:cs="Arial"/>
          <w:sz w:val="20"/>
        </w:rPr>
        <w:t>Изменения в МСС 1 относно нетекущи задължения, обвързани с ограничителни условия. Тези промени уточняват, че само ограничителни условия, които предприятието е длъжно да спазва на или преди края на отчетния период засягат правото на предприятието да отложи уреждането на съответните задължения за най-малко дванадесет месеца след отчетната дата и съответно само те следва да се вземат предвид при оценката на класификацията на задълженията като текущи или нетекущи. Тези споразумения влияят върху това дали правото съществува в края на отчетния период, дори ако спазването на условията се оценява след него (например ограничително условие, базирано на финансовото състояние на предприятието към края на отчетния период, но оценено след неговия край). Ограничителни условия, които се изчисляват на база на финансовото състояние на предприятието след края на отчетния период (например на база на финансовото състояние на предприятието шест месеца след отчетната дата) не следва да се вземат предвид при определяне на класификацията на задълженията и правото на тяхното отлагане. Въпреки това предприятията следва да оповестят информация за ограничителните условия, обхващащи наблюдаем период в рамките на дванадесет месеца след края на отчетния период с цел оценка на риска от това дали задълженията биха станали изискуеми. Промените се прилагат ретроспективно. По-ранно прилагане е разрешено, но едновременно с прилагането на промените в МСС 1 Представяне на финансови отчети относно класифицирането на задълженията като текущи и нетекущи. Ръководството е направило проучване и е определило, че тези промени не биха оказали съществено влияние върху счетоводната политика и върху стойностите и класификацията на активите, пасивите, операциите и резултатите на дружеството.</w:t>
      </w:r>
    </w:p>
    <w:p w14:paraId="65DBB72A" w14:textId="0A216BF6" w:rsidR="005C0D20" w:rsidRPr="005C0D20" w:rsidRDefault="00CA29CF" w:rsidP="005C0D20">
      <w:pPr>
        <w:rPr>
          <w:rFonts w:ascii="Arial" w:hAnsi="Arial" w:cs="Arial"/>
          <w:sz w:val="20"/>
        </w:rPr>
      </w:pPr>
      <w:r w:rsidRPr="00CA29CF">
        <w:rPr>
          <w:rFonts w:ascii="Arial" w:hAnsi="Arial" w:cs="Arial"/>
          <w:i/>
          <w:iCs/>
          <w:sz w:val="20"/>
        </w:rPr>
        <w:t>•</w:t>
      </w:r>
      <w:r w:rsidR="005C0D20" w:rsidRPr="005C0D20">
        <w:rPr>
          <w:rFonts w:ascii="Arial" w:hAnsi="Arial" w:cs="Arial"/>
          <w:sz w:val="20"/>
        </w:rPr>
        <w:t xml:space="preserve">Изменения на МСФО 16 Лизинг: Задължение по лизинг при продажба и обратен лизинг в сила от 1 януари 2024 г., приети от ЕК. Изменението изисква след началната дата на лизинга (датата на предоставяне на основния актив) продавачът лизингополучател да определи „лизингови плащания“ и „ревизирани лизингови плащания“ по начин, по който да не признае печалба или загуба, която се отнася до правото на ползване, задържано от него. Промените не се отнасят за признаване на </w:t>
      </w:r>
      <w:r w:rsidR="005C0D20" w:rsidRPr="005C0D20">
        <w:rPr>
          <w:rFonts w:ascii="Arial" w:hAnsi="Arial" w:cs="Arial"/>
          <w:sz w:val="20"/>
        </w:rPr>
        <w:lastRenderedPageBreak/>
        <w:t>печалби и загуби във връзка с частично или пълно прекратяване на лизинговия договор. Промените се прилагат ретроспективно. По-ранно прилагане е разрешено.</w:t>
      </w:r>
    </w:p>
    <w:p w14:paraId="390EB168" w14:textId="3F3778C3" w:rsidR="005C0D20" w:rsidRPr="005C0D20" w:rsidRDefault="00CA29CF" w:rsidP="005C0D20">
      <w:pPr>
        <w:rPr>
          <w:rFonts w:ascii="Arial" w:hAnsi="Arial" w:cs="Arial"/>
          <w:sz w:val="20"/>
        </w:rPr>
      </w:pPr>
      <w:r w:rsidRPr="00CA29CF">
        <w:rPr>
          <w:rFonts w:ascii="Arial" w:hAnsi="Arial" w:cs="Arial"/>
          <w:i/>
          <w:iCs/>
          <w:sz w:val="20"/>
        </w:rPr>
        <w:t>•</w:t>
      </w:r>
      <w:r w:rsidR="005C0D20" w:rsidRPr="005C0D20">
        <w:rPr>
          <w:rFonts w:ascii="Arial" w:hAnsi="Arial" w:cs="Arial"/>
          <w:sz w:val="20"/>
        </w:rPr>
        <w:t>Изменения на МСС 7 и МСФО 7 Споразумения за финансиране на доставчици: Оповестявания в сила от 1 януари 2024 г., които все още не са приети от ЕК. С измененията се въвеждат нови оповестявания целящи да помогнат на потребителите на финансовите отчети да оценят ефектите на тези споразумения и договорености върху задълженията на предприятието, паричните потоци и ликвидния риск.</w:t>
      </w:r>
    </w:p>
    <w:p w14:paraId="03B8B2E2" w14:textId="77777777" w:rsidR="005C0D20" w:rsidRPr="005C0D20" w:rsidRDefault="005C0D20" w:rsidP="005C0D20">
      <w:pPr>
        <w:rPr>
          <w:rFonts w:ascii="Arial" w:hAnsi="Arial" w:cs="Arial"/>
          <w:sz w:val="20"/>
        </w:rPr>
      </w:pPr>
    </w:p>
    <w:p w14:paraId="5FB3423F" w14:textId="411D7072" w:rsidR="005C0D20" w:rsidRPr="005C0D20" w:rsidRDefault="005C0D20" w:rsidP="005C0D20">
      <w:pPr>
        <w:rPr>
          <w:rFonts w:ascii="Arial" w:hAnsi="Arial" w:cs="Arial"/>
          <w:sz w:val="20"/>
        </w:rPr>
      </w:pPr>
      <w:bookmarkStart w:id="27" w:name="_Hlk155183126"/>
      <w:r w:rsidRPr="005C0D20">
        <w:rPr>
          <w:rFonts w:ascii="Arial" w:hAnsi="Arial" w:cs="Arial"/>
          <w:sz w:val="20"/>
        </w:rPr>
        <w:t>Освен това Стандартите за отчитането във връзка с устойчивостта, които предприятията трябва да използват за годишни периоди започващи на 01.01.2024г. и след това, за да извършват отчитането си във връзка с устойчивостта в съответствие с членове 19а и 29а от Директива 2013/34/ЕС, са приети от ЕК с Регламент 2023/2772 от 31.07.2023г.</w:t>
      </w:r>
      <w:r w:rsidR="00806F20">
        <w:rPr>
          <w:rFonts w:ascii="Arial" w:hAnsi="Arial" w:cs="Arial"/>
          <w:sz w:val="20"/>
        </w:rPr>
        <w:t xml:space="preserve"> на този етап изискват допълнителен анализ и приемане на план за действие в отговор на изискванията на националното и европейското законодателство.</w:t>
      </w:r>
    </w:p>
    <w:bookmarkEnd w:id="27"/>
    <w:p w14:paraId="7B0142ED" w14:textId="77777777" w:rsidR="005C0D20" w:rsidRPr="005C0D20" w:rsidRDefault="005C0D20" w:rsidP="005C0D20">
      <w:pPr>
        <w:rPr>
          <w:rFonts w:ascii="Arial" w:hAnsi="Arial" w:cs="Arial"/>
          <w:sz w:val="20"/>
        </w:rPr>
      </w:pPr>
    </w:p>
    <w:p w14:paraId="30BFC36C" w14:textId="0D81ADE6" w:rsidR="005C0D20" w:rsidRPr="005C0D20" w:rsidRDefault="005C0D20" w:rsidP="005C0D20">
      <w:pPr>
        <w:rPr>
          <w:rFonts w:ascii="Arial" w:hAnsi="Arial" w:cs="Arial"/>
          <w:sz w:val="20"/>
          <w:lang w:val="en-US"/>
        </w:rPr>
      </w:pPr>
      <w:r w:rsidRPr="005C0D20">
        <w:rPr>
          <w:rFonts w:ascii="Arial" w:hAnsi="Arial" w:cs="Arial"/>
          <w:sz w:val="20"/>
        </w:rPr>
        <w:t>Ръководството е в процес на проучване, анализ и оценка на ефектите от промените в горепосочените стандарти, които не са влезли все още в сила, доколко ще окажат влияние върху счетоводната политика и върху стойностите и класификациите на активите, пасивите, операциите и резултатите на Дружеството в следващите отчетни периоди.</w:t>
      </w:r>
    </w:p>
    <w:p w14:paraId="5097D07F" w14:textId="77777777" w:rsidR="00984D04" w:rsidRPr="00B14C47" w:rsidRDefault="00984D04" w:rsidP="00B66DF8">
      <w:pPr>
        <w:rPr>
          <w:rFonts w:ascii="Arial" w:hAnsi="Arial" w:cs="Arial"/>
          <w:szCs w:val="22"/>
        </w:rPr>
      </w:pPr>
    </w:p>
    <w:p w14:paraId="6B2667B5" w14:textId="77777777" w:rsidR="00B66DF8" w:rsidRPr="00B14C47" w:rsidRDefault="006C26BD" w:rsidP="00B66DF8">
      <w:pPr>
        <w:pStyle w:val="Heading3"/>
        <w:spacing w:before="0"/>
        <w:rPr>
          <w:rFonts w:ascii="Arial" w:hAnsi="Arial" w:cs="Arial"/>
          <w:lang w:val="bg-BG"/>
        </w:rPr>
      </w:pPr>
      <w:bookmarkStart w:id="28" w:name="_Toc483986875"/>
      <w:bookmarkStart w:id="29" w:name="_Toc96871849"/>
      <w:bookmarkStart w:id="30" w:name="_Toc164268326"/>
      <w:r w:rsidRPr="00B14C47">
        <w:rPr>
          <w:rFonts w:ascii="Arial" w:hAnsi="Arial" w:cs="Arial"/>
          <w:lang w:val="bg-BG"/>
        </w:rPr>
        <w:t xml:space="preserve">База за изготвяне - </w:t>
      </w:r>
      <w:r w:rsidR="00B66DF8" w:rsidRPr="00B14C47">
        <w:rPr>
          <w:rFonts w:ascii="Arial" w:hAnsi="Arial" w:cs="Arial"/>
          <w:lang w:val="bg-BG"/>
        </w:rPr>
        <w:t>Промени в счетоводната политика</w:t>
      </w:r>
      <w:bookmarkEnd w:id="28"/>
      <w:bookmarkEnd w:id="29"/>
      <w:bookmarkEnd w:id="30"/>
    </w:p>
    <w:p w14:paraId="3B658736" w14:textId="77777777" w:rsidR="00B66DF8" w:rsidRPr="00B14C47" w:rsidRDefault="00B66DF8" w:rsidP="00B66DF8">
      <w:pPr>
        <w:rPr>
          <w:rFonts w:ascii="Arial" w:hAnsi="Arial" w:cs="Arial"/>
          <w:sz w:val="20"/>
        </w:rPr>
      </w:pPr>
      <w:r w:rsidRPr="00B14C47">
        <w:rPr>
          <w:rFonts w:ascii="Arial" w:hAnsi="Arial" w:cs="Arial"/>
          <w:sz w:val="20"/>
        </w:rPr>
        <w:t>Възприетата счетоводна политика е последователна с прилаганата през предходната година</w:t>
      </w:r>
      <w:r w:rsidR="00791666" w:rsidRPr="00B14C47">
        <w:rPr>
          <w:rFonts w:ascii="Arial" w:hAnsi="Arial" w:cs="Arial"/>
          <w:sz w:val="20"/>
        </w:rPr>
        <w:t>.</w:t>
      </w:r>
      <w:r w:rsidR="00D45B65" w:rsidRPr="00B14C47">
        <w:rPr>
          <w:rFonts w:ascii="Arial" w:hAnsi="Arial" w:cs="Arial"/>
          <w:sz w:val="20"/>
        </w:rPr>
        <w:t xml:space="preserve"> </w:t>
      </w:r>
    </w:p>
    <w:p w14:paraId="4100F138" w14:textId="77777777" w:rsidR="00B66DF8" w:rsidRPr="00B14C47" w:rsidRDefault="00B66DF8" w:rsidP="00B66DF8">
      <w:pPr>
        <w:rPr>
          <w:rFonts w:ascii="Arial" w:hAnsi="Arial" w:cs="Arial"/>
          <w:sz w:val="20"/>
          <w:lang w:val="en-US"/>
        </w:rPr>
      </w:pPr>
    </w:p>
    <w:p w14:paraId="21061A24" w14:textId="77777777" w:rsidR="00B66DF8" w:rsidRPr="00B14C47" w:rsidRDefault="00B66DF8" w:rsidP="00B66DF8">
      <w:pPr>
        <w:pStyle w:val="Heading3"/>
        <w:spacing w:before="0"/>
        <w:rPr>
          <w:rFonts w:ascii="Arial" w:hAnsi="Arial" w:cs="Arial"/>
          <w:lang w:val="bg-BG"/>
        </w:rPr>
      </w:pPr>
      <w:bookmarkStart w:id="31" w:name="_Toc96871850"/>
      <w:bookmarkStart w:id="32" w:name="_Toc164268327"/>
      <w:r w:rsidRPr="00B14C47">
        <w:rPr>
          <w:rFonts w:ascii="Arial" w:hAnsi="Arial" w:cs="Arial"/>
          <w:lang w:val="bg-BG"/>
        </w:rPr>
        <w:t>Минимална сравнителна информация</w:t>
      </w:r>
      <w:bookmarkEnd w:id="31"/>
      <w:bookmarkEnd w:id="32"/>
    </w:p>
    <w:p w14:paraId="02259379"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bookmarkStart w:id="33" w:name="p12441973"/>
      <w:bookmarkEnd w:id="33"/>
      <w:r w:rsidRPr="00B14C47">
        <w:rPr>
          <w:rFonts w:ascii="Arial" w:hAnsi="Arial" w:cs="Arial"/>
          <w:sz w:val="20"/>
          <w:lang w:eastAsia="bg-BG"/>
        </w:rPr>
        <w:t xml:space="preserve">С изключение на случаите, когато МСФО разрешават или изискват друго, Дружеството представя сравнителна информация по отношение на предходен период за всички суми, отчетени във финансовите отчети за текущия период.  </w:t>
      </w:r>
    </w:p>
    <w:p w14:paraId="76974BDD"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Дружеството представя като минимум два отчета за финансовото състояние, два отчета за печалбата или загубата и другия всеобхватен доход, два отделни отчета за печалбата или загубата (ако се представят такива), два отчета за паричните потоци и два отчета за промените в собствения капитал и свързаните с тях пояснителни приложения.</w:t>
      </w:r>
    </w:p>
    <w:p w14:paraId="2546655C"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bookmarkStart w:id="34" w:name="_Hlk512172385"/>
      <w:r w:rsidRPr="00B14C47">
        <w:rPr>
          <w:rFonts w:ascii="Arial" w:hAnsi="Arial" w:cs="Arial"/>
          <w:sz w:val="20"/>
          <w:lang w:eastAsia="bg-BG"/>
        </w:rPr>
        <w:t>Когато текстовата описателна информация, съдържаща се във финансовите отчети за предходния/предходните период(и), продължава да бъде актуална и за текущия период  се прави връзка с предходния, особено когато това е свързано с несигурности, приблизителни оценки, провизии или обезценки.</w:t>
      </w:r>
    </w:p>
    <w:bookmarkEnd w:id="34"/>
    <w:p w14:paraId="18AB3F95" w14:textId="77777777" w:rsidR="00B66DF8" w:rsidRPr="00B14C47" w:rsidRDefault="00B66DF8" w:rsidP="00B66DF8">
      <w:pPr>
        <w:rPr>
          <w:rFonts w:ascii="Arial" w:hAnsi="Arial" w:cs="Arial"/>
          <w:sz w:val="20"/>
        </w:rPr>
      </w:pPr>
    </w:p>
    <w:p w14:paraId="7CB303B4" w14:textId="591350DD" w:rsidR="00B66DF8" w:rsidRPr="00B14C47" w:rsidRDefault="00B66DF8" w:rsidP="00B66DF8">
      <w:pPr>
        <w:pStyle w:val="Heading3"/>
        <w:spacing w:before="0"/>
        <w:rPr>
          <w:rFonts w:ascii="Arial" w:hAnsi="Arial" w:cs="Arial"/>
          <w:lang w:val="bg-BG"/>
        </w:rPr>
      </w:pPr>
      <w:bookmarkStart w:id="35" w:name="_Toc96871851"/>
      <w:bookmarkStart w:id="36" w:name="_Toc164268328"/>
      <w:r w:rsidRPr="00B14C47">
        <w:rPr>
          <w:rFonts w:ascii="Arial" w:hAnsi="Arial" w:cs="Arial"/>
          <w:lang w:val="bg-BG"/>
        </w:rPr>
        <w:t>Оповестявания на обезцен</w:t>
      </w:r>
      <w:r w:rsidR="00A80B93">
        <w:rPr>
          <w:rFonts w:ascii="Arial" w:hAnsi="Arial" w:cs="Arial"/>
          <w:lang w:val="bg-BG"/>
        </w:rPr>
        <w:t>ка в отчетите</w:t>
      </w:r>
      <w:bookmarkEnd w:id="35"/>
      <w:bookmarkEnd w:id="36"/>
    </w:p>
    <w:p w14:paraId="7AA202A7" w14:textId="108D6787" w:rsidR="00422087" w:rsidRPr="00B14C47" w:rsidRDefault="00422087" w:rsidP="00422087">
      <w:pPr>
        <w:rPr>
          <w:rFonts w:ascii="Arial" w:hAnsi="Arial" w:cs="Arial"/>
          <w:sz w:val="20"/>
        </w:rPr>
      </w:pPr>
      <w:r w:rsidRPr="00B14C47">
        <w:rPr>
          <w:rFonts w:ascii="Arial" w:hAnsi="Arial" w:cs="Arial"/>
          <w:sz w:val="20"/>
        </w:rPr>
        <w:t>При сегашната икономическа среда, оповестяванията, отнасящи се до обезценка, се характеризират с нарастващо значение. Поради това тези Пояснителни приложения към отчети</w:t>
      </w:r>
      <w:r w:rsidR="00A80B93">
        <w:rPr>
          <w:rFonts w:ascii="Arial" w:hAnsi="Arial" w:cs="Arial"/>
          <w:sz w:val="20"/>
        </w:rPr>
        <w:t>те</w:t>
      </w:r>
      <w:r w:rsidRPr="00B14C47">
        <w:rPr>
          <w:rFonts w:ascii="Arial" w:hAnsi="Arial" w:cs="Arial"/>
          <w:sz w:val="20"/>
        </w:rPr>
        <w:t xml:space="preserve"> на Дружеството, съдържат подробни оповестявания на обезценка, към следните раздели: </w:t>
      </w:r>
    </w:p>
    <w:p w14:paraId="344CC105" w14:textId="77777777" w:rsidR="00422087" w:rsidRPr="00B14C47" w:rsidRDefault="00422087" w:rsidP="00057C67">
      <w:pPr>
        <w:numPr>
          <w:ilvl w:val="0"/>
          <w:numId w:val="2"/>
        </w:numPr>
        <w:rPr>
          <w:rFonts w:ascii="Arial" w:hAnsi="Arial" w:cs="Arial"/>
          <w:sz w:val="20"/>
        </w:rPr>
      </w:pPr>
      <w:r w:rsidRPr="00B14C47">
        <w:rPr>
          <w:rFonts w:ascii="Arial" w:hAnsi="Arial" w:cs="Arial"/>
          <w:sz w:val="20"/>
        </w:rPr>
        <w:t>Оповестявания по счетоводната политика;</w:t>
      </w:r>
    </w:p>
    <w:p w14:paraId="7F95BC7F" w14:textId="77777777" w:rsidR="00422087" w:rsidRPr="00B14C47" w:rsidRDefault="00422087" w:rsidP="00057C67">
      <w:pPr>
        <w:numPr>
          <w:ilvl w:val="0"/>
          <w:numId w:val="2"/>
        </w:numPr>
        <w:rPr>
          <w:rFonts w:ascii="Arial" w:hAnsi="Arial" w:cs="Arial"/>
          <w:sz w:val="20"/>
        </w:rPr>
      </w:pPr>
      <w:r w:rsidRPr="00B14C47">
        <w:rPr>
          <w:rFonts w:ascii="Arial" w:hAnsi="Arial" w:cs="Arial"/>
          <w:sz w:val="20"/>
        </w:rPr>
        <w:t xml:space="preserve">Оповестявания на </w:t>
      </w:r>
      <w:r w:rsidR="008B70BF" w:rsidRPr="00B14C47">
        <w:rPr>
          <w:rFonts w:ascii="Arial" w:hAnsi="Arial" w:cs="Arial"/>
          <w:sz w:val="20"/>
        </w:rPr>
        <w:t xml:space="preserve">критични </w:t>
      </w:r>
      <w:r w:rsidRPr="00B14C47">
        <w:rPr>
          <w:rFonts w:ascii="Arial" w:hAnsi="Arial" w:cs="Arial"/>
          <w:sz w:val="20"/>
        </w:rPr>
        <w:t>съществени предположения;</w:t>
      </w:r>
    </w:p>
    <w:p w14:paraId="2E6D529E" w14:textId="77777777" w:rsidR="00422087" w:rsidRPr="00B14C47" w:rsidRDefault="00422087" w:rsidP="00057C67">
      <w:pPr>
        <w:numPr>
          <w:ilvl w:val="0"/>
          <w:numId w:val="2"/>
        </w:numPr>
        <w:rPr>
          <w:rFonts w:ascii="Arial" w:hAnsi="Arial" w:cs="Arial"/>
          <w:sz w:val="20"/>
        </w:rPr>
      </w:pPr>
      <w:r w:rsidRPr="00B14C47">
        <w:rPr>
          <w:rFonts w:ascii="Arial" w:hAnsi="Arial" w:cs="Arial"/>
          <w:sz w:val="20"/>
        </w:rPr>
        <w:t xml:space="preserve">Финансови активи; </w:t>
      </w:r>
    </w:p>
    <w:p w14:paraId="33074241" w14:textId="77777777" w:rsidR="008B70BF" w:rsidRPr="00B14C47" w:rsidRDefault="008B70BF" w:rsidP="00057C67">
      <w:pPr>
        <w:numPr>
          <w:ilvl w:val="0"/>
          <w:numId w:val="2"/>
        </w:numPr>
        <w:rPr>
          <w:rFonts w:ascii="Arial" w:hAnsi="Arial" w:cs="Arial"/>
          <w:sz w:val="20"/>
        </w:rPr>
      </w:pPr>
      <w:r w:rsidRPr="00B14C47">
        <w:rPr>
          <w:rFonts w:ascii="Arial" w:hAnsi="Arial" w:cs="Arial"/>
          <w:sz w:val="20"/>
        </w:rPr>
        <w:t>Цели и политики за управление на финансовия риск. Оценка.</w:t>
      </w:r>
    </w:p>
    <w:p w14:paraId="740DA4A2" w14:textId="77777777" w:rsidR="00B66DF8" w:rsidRPr="00B14C47" w:rsidRDefault="00422087" w:rsidP="00B66DF8">
      <w:pPr>
        <w:rPr>
          <w:rFonts w:ascii="Arial" w:hAnsi="Arial" w:cs="Arial"/>
          <w:sz w:val="20"/>
        </w:rPr>
      </w:pPr>
      <w:r w:rsidRPr="00B14C47">
        <w:rPr>
          <w:rFonts w:ascii="Arial" w:hAnsi="Arial" w:cs="Arial"/>
          <w:sz w:val="20"/>
        </w:rPr>
        <w:t xml:space="preserve"> </w:t>
      </w:r>
    </w:p>
    <w:p w14:paraId="4A71D13D" w14:textId="77777777" w:rsidR="00B66DF8" w:rsidRPr="00B14C47" w:rsidRDefault="00B66DF8" w:rsidP="00B66DF8">
      <w:pPr>
        <w:pStyle w:val="Heading3"/>
        <w:spacing w:before="0"/>
        <w:rPr>
          <w:rFonts w:ascii="Arial" w:hAnsi="Arial" w:cs="Arial"/>
          <w:lang w:val="bg-BG"/>
        </w:rPr>
      </w:pPr>
      <w:bookmarkStart w:id="37" w:name="_Toc96871852"/>
      <w:bookmarkStart w:id="38" w:name="_Toc164268329"/>
      <w:bookmarkStart w:id="39" w:name="_Hlk512172492"/>
      <w:r w:rsidRPr="00B14C47">
        <w:rPr>
          <w:rFonts w:ascii="Arial" w:hAnsi="Arial" w:cs="Arial"/>
          <w:lang w:val="bg-BG"/>
        </w:rPr>
        <w:t>Бази за оценяване, използвани при изготвянето на финансовите отчети</w:t>
      </w:r>
      <w:bookmarkEnd w:id="37"/>
      <w:bookmarkEnd w:id="38"/>
    </w:p>
    <w:p w14:paraId="0B74EAB4" w14:textId="77777777" w:rsidR="00F62C7F" w:rsidRPr="00B14C47" w:rsidRDefault="00F62C7F" w:rsidP="00F62C7F">
      <w:pPr>
        <w:rPr>
          <w:rFonts w:ascii="Arial" w:hAnsi="Arial" w:cs="Arial"/>
          <w:sz w:val="20"/>
        </w:rPr>
      </w:pPr>
      <w:r w:rsidRPr="00B14C47">
        <w:rPr>
          <w:rFonts w:ascii="Arial" w:hAnsi="Arial" w:cs="Arial"/>
          <w:sz w:val="20"/>
        </w:rPr>
        <w:t>Индивидуалния</w:t>
      </w:r>
      <w:r w:rsidR="00D34EF6" w:rsidRPr="00B14C47">
        <w:rPr>
          <w:rFonts w:ascii="Arial" w:hAnsi="Arial" w:cs="Arial"/>
          <w:sz w:val="20"/>
        </w:rPr>
        <w:t>т</w:t>
      </w:r>
      <w:r w:rsidRPr="00B14C47">
        <w:rPr>
          <w:rFonts w:ascii="Arial" w:hAnsi="Arial" w:cs="Arial"/>
          <w:sz w:val="20"/>
        </w:rPr>
        <w:t xml:space="preserve"> финансов отчет е изготвен на базата на историческата цена, с изключение на определени имоти и финансови инструменти, които се отчитат по преоценена стойност или справедлива стойност в края на всеки отчетен период, както е обяснено в счетоводната политика, по-долу.</w:t>
      </w:r>
    </w:p>
    <w:p w14:paraId="1F5CB131" w14:textId="77777777" w:rsidR="00F62C7F" w:rsidRPr="00B14C47" w:rsidRDefault="00F62C7F" w:rsidP="00F62C7F">
      <w:pPr>
        <w:rPr>
          <w:rFonts w:ascii="Arial" w:hAnsi="Arial" w:cs="Arial"/>
          <w:sz w:val="20"/>
        </w:rPr>
      </w:pPr>
      <w:r w:rsidRPr="00B14C47">
        <w:rPr>
          <w:rFonts w:ascii="Arial" w:hAnsi="Arial" w:cs="Arial"/>
          <w:sz w:val="20"/>
        </w:rPr>
        <w:t>Историческата цена обикновено се базира на справедливата стойност на възнаграждението, което е дължимо (договорено) при замяна на стоки и услуги.</w:t>
      </w:r>
    </w:p>
    <w:p w14:paraId="42066850" w14:textId="77777777" w:rsidR="00F62C7F" w:rsidRPr="00B14C47" w:rsidRDefault="00F62C7F" w:rsidP="00F62C7F">
      <w:pPr>
        <w:rPr>
          <w:rFonts w:ascii="Arial" w:hAnsi="Arial" w:cs="Arial"/>
          <w:sz w:val="20"/>
        </w:rPr>
      </w:pPr>
      <w:r w:rsidRPr="00B14C47">
        <w:rPr>
          <w:rFonts w:ascii="Arial" w:hAnsi="Arial" w:cs="Arial"/>
          <w:sz w:val="20"/>
        </w:rPr>
        <w:t xml:space="preserve">Справедлива стойност е цената, която би била получена при продажба на актив или платена при прехвърлянето на задължение при обичайна сделка между пазарни участници към датата на оценяване, независимо от това дали тази цена е пряко наблюдавана или оценява като се използва друга техника за оценка. При определяне на справедливата стойност на един актив или пасив, дружеството взима под внимание характеристиките на актив или пасив, така, както участниците на пазара биха взели тези характеристики предвид при ценообразуването на актива или пасива към датата на оценяване. Справедлива стойност за измерване и / или оповестяване цели в този финансов отчет, се определя на такава база, с изключение на базата на акции, платежни операции, </w:t>
      </w:r>
      <w:r w:rsidRPr="00B14C47">
        <w:rPr>
          <w:rFonts w:ascii="Arial" w:hAnsi="Arial" w:cs="Arial"/>
          <w:sz w:val="20"/>
        </w:rPr>
        <w:lastRenderedPageBreak/>
        <w:t>които са в обхвата на МСФО 2, лизингови сделки, които са в обхвата на МСС 17, и измервания, които имат някои прилики със справедлива стойност, но не са по справедлива стойност, като нетна реализируема стойност в МСС 2 или стойност в употреба в МСС 36.</w:t>
      </w:r>
    </w:p>
    <w:p w14:paraId="0ADC91CB" w14:textId="77777777" w:rsidR="00F62C7F" w:rsidRPr="00B14C47" w:rsidRDefault="00F62C7F" w:rsidP="00F62C7F">
      <w:pPr>
        <w:rPr>
          <w:rFonts w:ascii="Arial" w:hAnsi="Arial" w:cs="Arial"/>
          <w:sz w:val="20"/>
        </w:rPr>
      </w:pPr>
      <w:r w:rsidRPr="00B14C47">
        <w:rPr>
          <w:rFonts w:ascii="Arial" w:hAnsi="Arial" w:cs="Arial"/>
          <w:sz w:val="20"/>
        </w:rPr>
        <w:t>В допълнение, за целите на финансовата отчетност, справедливата стойност се категоризират в Ниво 1, 2 или 3 въз основа на степента, в която входящите данни за измерванията на справедливата стойност, се наблюдават и на значимостта на факторите за оценяването на справедливата стойност в своята цялост, които са описани, както следва:</w:t>
      </w:r>
    </w:p>
    <w:p w14:paraId="4AD1CC39" w14:textId="77777777" w:rsidR="00F62C7F" w:rsidRPr="00B14C47" w:rsidRDefault="00F62C7F" w:rsidP="00F62C7F">
      <w:pPr>
        <w:rPr>
          <w:rFonts w:ascii="Arial" w:hAnsi="Arial" w:cs="Arial"/>
          <w:sz w:val="20"/>
        </w:rPr>
      </w:pPr>
      <w:r w:rsidRPr="00B14C47">
        <w:rPr>
          <w:rFonts w:ascii="Arial" w:hAnsi="Arial" w:cs="Arial"/>
          <w:sz w:val="20"/>
        </w:rPr>
        <w:t>Хипотези от 1-во ниво - Обявени (некоригирани) цени на активните пазари за идентични активи или пасиви, до които предприятието може да има достъп към датата на оценяване.</w:t>
      </w:r>
    </w:p>
    <w:p w14:paraId="6D947860" w14:textId="77777777" w:rsidR="00F62C7F" w:rsidRPr="00B14C47" w:rsidRDefault="00F62C7F" w:rsidP="00F62C7F">
      <w:pPr>
        <w:rPr>
          <w:rFonts w:ascii="Arial" w:hAnsi="Arial" w:cs="Arial"/>
          <w:sz w:val="20"/>
        </w:rPr>
      </w:pPr>
      <w:r w:rsidRPr="00B14C47">
        <w:rPr>
          <w:rFonts w:ascii="Arial" w:hAnsi="Arial" w:cs="Arial"/>
          <w:sz w:val="20"/>
        </w:rPr>
        <w:t>Хипотези от 2-ро ниво Други хипотези освен включените в ниво 1 обявени цени за актив или пасив, които са наблюдаеми пряко или косвено.</w:t>
      </w:r>
    </w:p>
    <w:p w14:paraId="73DAFAA0" w14:textId="77777777" w:rsidR="00F62C7F" w:rsidRPr="00B14C47" w:rsidRDefault="00F62C7F" w:rsidP="00F62C7F">
      <w:pPr>
        <w:rPr>
          <w:rFonts w:ascii="Arial" w:hAnsi="Arial" w:cs="Arial"/>
          <w:sz w:val="20"/>
        </w:rPr>
      </w:pPr>
      <w:r w:rsidRPr="00B14C47">
        <w:rPr>
          <w:rFonts w:ascii="Arial" w:hAnsi="Arial" w:cs="Arial"/>
          <w:sz w:val="20"/>
        </w:rPr>
        <w:t>Хипотези от 3-то ниво Ненаблюдаеми хипотези за актив или пасив. Получени от техники за оценка , които включват входове за актива или пасива , които не се основават на пазарни данни ( непазарни фактори).</w:t>
      </w:r>
    </w:p>
    <w:p w14:paraId="32CDC0CA" w14:textId="77777777" w:rsidR="00F62C7F" w:rsidRPr="00B14C47" w:rsidRDefault="00F62C7F" w:rsidP="00F62C7F">
      <w:pPr>
        <w:rPr>
          <w:rFonts w:ascii="Arial" w:hAnsi="Arial" w:cs="Arial"/>
          <w:sz w:val="20"/>
        </w:rPr>
      </w:pPr>
      <w:r w:rsidRPr="00B14C47">
        <w:rPr>
          <w:rFonts w:ascii="Arial" w:hAnsi="Arial" w:cs="Arial"/>
          <w:sz w:val="20"/>
        </w:rPr>
        <w:t>Прилагането на справедлива стойност е подробно оповестено раздел „Определяне на справедлива стойност“</w:t>
      </w:r>
      <w:r w:rsidR="001902B5" w:rsidRPr="00B14C47">
        <w:rPr>
          <w:rFonts w:ascii="Arial" w:hAnsi="Arial" w:cs="Arial"/>
          <w:sz w:val="20"/>
        </w:rPr>
        <w:t>.</w:t>
      </w:r>
    </w:p>
    <w:p w14:paraId="1A69D82E" w14:textId="77777777" w:rsidR="00B66DF8" w:rsidRPr="009F00E2" w:rsidRDefault="00B66DF8" w:rsidP="00B66DF8">
      <w:pPr>
        <w:rPr>
          <w:rFonts w:ascii="Arial" w:hAnsi="Arial" w:cs="Arial"/>
          <w:color w:val="FF0000"/>
          <w:sz w:val="20"/>
        </w:rPr>
      </w:pPr>
    </w:p>
    <w:p w14:paraId="69972B89" w14:textId="77777777" w:rsidR="00B66DF8" w:rsidRPr="00B14C47" w:rsidRDefault="00B66DF8" w:rsidP="00B66DF8">
      <w:pPr>
        <w:pStyle w:val="Heading3"/>
        <w:spacing w:before="0"/>
        <w:rPr>
          <w:rFonts w:ascii="Arial" w:hAnsi="Arial" w:cs="Arial"/>
          <w:lang w:val="bg-BG"/>
        </w:rPr>
      </w:pPr>
      <w:bookmarkStart w:id="40" w:name="_Toc96871853"/>
      <w:bookmarkStart w:id="41" w:name="_Toc164268330"/>
      <w:r w:rsidRPr="00B14C47">
        <w:rPr>
          <w:rFonts w:ascii="Arial" w:hAnsi="Arial" w:cs="Arial"/>
          <w:lang w:val="bg-BG"/>
        </w:rPr>
        <w:t>Критични счетоводни преценки</w:t>
      </w:r>
      <w:bookmarkEnd w:id="40"/>
      <w:bookmarkEnd w:id="41"/>
    </w:p>
    <w:p w14:paraId="676E03E7" w14:textId="77777777" w:rsidR="00B66DF8" w:rsidRPr="00B14C47" w:rsidRDefault="00B66DF8" w:rsidP="00B66DF8">
      <w:pPr>
        <w:rPr>
          <w:rFonts w:ascii="Arial" w:hAnsi="Arial" w:cs="Arial"/>
          <w:sz w:val="20"/>
        </w:rPr>
      </w:pPr>
      <w:r w:rsidRPr="00B14C47">
        <w:rPr>
          <w:rFonts w:ascii="Arial" w:hAnsi="Arial" w:cs="Arial"/>
          <w:sz w:val="20"/>
        </w:rPr>
        <w:t>При прилагането на счетоводните политики на Дружеството, които са описани в бележките в настоящото приложение, ръководството на Дружеството е длъжно да прави преценки, приблизителни оценки и предположения за балансовата стойност на активите и пасивите, които не са лесно видими от други източници. Преценките и свързаните с тях предположения се базират на историческия опит и други фактори, които се считат за подходящи. Действителните резултати могат да се различават от тези оценки.</w:t>
      </w:r>
    </w:p>
    <w:p w14:paraId="0298ACA8" w14:textId="77777777" w:rsidR="00B66DF8" w:rsidRPr="00B14C47" w:rsidRDefault="00B66DF8" w:rsidP="00B66DF8">
      <w:pPr>
        <w:rPr>
          <w:rFonts w:ascii="Arial" w:hAnsi="Arial" w:cs="Arial"/>
          <w:sz w:val="20"/>
        </w:rPr>
      </w:pPr>
      <w:r w:rsidRPr="00B14C47">
        <w:rPr>
          <w:rFonts w:ascii="Arial" w:hAnsi="Arial" w:cs="Arial"/>
          <w:sz w:val="20"/>
        </w:rPr>
        <w:t>Преценките и основните предположения се преглеждат на текуща база. Преработените счетоводни оценки се признават в периода, в който оценката е преразгледана, ако прегледа засяга само този период, или в периода на преразглеждането и бъдещи периоди, ако прегледите засягат както текущия и бъдещите периоди.</w:t>
      </w:r>
    </w:p>
    <w:p w14:paraId="3624668C" w14:textId="77777777" w:rsidR="00B66DF8" w:rsidRPr="00B14C47" w:rsidRDefault="00B66DF8" w:rsidP="00B66DF8">
      <w:pPr>
        <w:rPr>
          <w:rFonts w:ascii="Arial" w:hAnsi="Arial" w:cs="Arial"/>
          <w:sz w:val="20"/>
        </w:rPr>
      </w:pPr>
      <w:r w:rsidRPr="00B14C47">
        <w:rPr>
          <w:rFonts w:ascii="Arial" w:hAnsi="Arial" w:cs="Arial"/>
          <w:sz w:val="20"/>
        </w:rPr>
        <w:t>Критичните счетоводни преценки са подробно оповестени в раздел „Критични счетоводни преценки и приблизителни оценки“.</w:t>
      </w:r>
    </w:p>
    <w:bookmarkEnd w:id="39"/>
    <w:p w14:paraId="2D7EE793" w14:textId="77777777" w:rsidR="00B66DF8" w:rsidRPr="009F00E2" w:rsidRDefault="00B66DF8" w:rsidP="00B66DF8">
      <w:pPr>
        <w:rPr>
          <w:rFonts w:ascii="Arial" w:hAnsi="Arial" w:cs="Arial"/>
          <w:sz w:val="20"/>
        </w:rPr>
      </w:pPr>
    </w:p>
    <w:p w14:paraId="7886AD4B" w14:textId="77777777" w:rsidR="00B66DF8" w:rsidRPr="00B14C47" w:rsidRDefault="00B66DF8" w:rsidP="00B66DF8">
      <w:pPr>
        <w:pStyle w:val="Heading3"/>
        <w:spacing w:before="0"/>
        <w:rPr>
          <w:rFonts w:ascii="Arial" w:hAnsi="Arial" w:cs="Arial"/>
          <w:lang w:val="bg-BG"/>
        </w:rPr>
      </w:pPr>
      <w:bookmarkStart w:id="42" w:name="_Toc96871854"/>
      <w:bookmarkStart w:id="43" w:name="_Toc164268331"/>
      <w:r w:rsidRPr="00B14C47">
        <w:rPr>
          <w:rFonts w:ascii="Arial" w:hAnsi="Arial" w:cs="Arial"/>
          <w:lang w:val="bg-BG"/>
        </w:rPr>
        <w:t>Оповестявания за комплекта финансови отчети</w:t>
      </w:r>
      <w:bookmarkEnd w:id="42"/>
      <w:bookmarkEnd w:id="43"/>
    </w:p>
    <w:p w14:paraId="61B30D9B" w14:textId="77777777" w:rsidR="00DA6815" w:rsidRPr="00B14C47" w:rsidRDefault="00DA6815" w:rsidP="00DA6815">
      <w:pPr>
        <w:rPr>
          <w:rFonts w:ascii="Arial" w:hAnsi="Arial" w:cs="Arial"/>
          <w:sz w:val="20"/>
        </w:rPr>
      </w:pPr>
      <w:r w:rsidRPr="00B14C47">
        <w:rPr>
          <w:rFonts w:ascii="Arial" w:hAnsi="Arial" w:cs="Arial"/>
          <w:sz w:val="20"/>
        </w:rPr>
        <w:t>Пълния</w:t>
      </w:r>
      <w:r w:rsidR="00D34EF6" w:rsidRPr="00B14C47">
        <w:rPr>
          <w:rFonts w:ascii="Arial" w:hAnsi="Arial" w:cs="Arial"/>
          <w:sz w:val="20"/>
        </w:rPr>
        <w:t>т</w:t>
      </w:r>
      <w:r w:rsidRPr="00B14C47">
        <w:rPr>
          <w:rFonts w:ascii="Arial" w:hAnsi="Arial" w:cs="Arial"/>
          <w:sz w:val="20"/>
        </w:rPr>
        <w:t xml:space="preserve"> комплект индивидуални финансови отчети, включва следните компоненти:</w:t>
      </w:r>
    </w:p>
    <w:p w14:paraId="2D1DDAC9" w14:textId="77777777" w:rsidR="00DA6815" w:rsidRPr="00B14C47" w:rsidRDefault="00DA6815" w:rsidP="00057C67">
      <w:pPr>
        <w:numPr>
          <w:ilvl w:val="0"/>
          <w:numId w:val="7"/>
        </w:numPr>
        <w:rPr>
          <w:rFonts w:ascii="Arial" w:hAnsi="Arial" w:cs="Arial"/>
          <w:sz w:val="20"/>
        </w:rPr>
      </w:pPr>
      <w:r w:rsidRPr="00B14C47">
        <w:rPr>
          <w:rFonts w:ascii="Arial" w:hAnsi="Arial" w:cs="Arial"/>
          <w:sz w:val="20"/>
        </w:rPr>
        <w:t>Индивидуален отчет за финансовото състояние към края на периода;</w:t>
      </w:r>
    </w:p>
    <w:p w14:paraId="6D5F24F0" w14:textId="77777777" w:rsidR="00DA6815" w:rsidRPr="00B14C47" w:rsidRDefault="00DA6815" w:rsidP="00057C67">
      <w:pPr>
        <w:numPr>
          <w:ilvl w:val="0"/>
          <w:numId w:val="7"/>
        </w:numPr>
        <w:rPr>
          <w:rFonts w:ascii="Arial" w:hAnsi="Arial" w:cs="Arial"/>
          <w:sz w:val="20"/>
        </w:rPr>
      </w:pPr>
      <w:r w:rsidRPr="00B14C47">
        <w:rPr>
          <w:rFonts w:ascii="Arial" w:hAnsi="Arial" w:cs="Arial"/>
          <w:sz w:val="20"/>
        </w:rPr>
        <w:t>Индивидуален отчет за печалбата или загубата и другия всеобхватен доход за периода;</w:t>
      </w:r>
    </w:p>
    <w:p w14:paraId="7618F5CF" w14:textId="77777777" w:rsidR="00DA6815" w:rsidRPr="00B14C47" w:rsidRDefault="00DA6815" w:rsidP="00057C67">
      <w:pPr>
        <w:numPr>
          <w:ilvl w:val="0"/>
          <w:numId w:val="7"/>
        </w:numPr>
        <w:rPr>
          <w:rFonts w:ascii="Arial" w:hAnsi="Arial" w:cs="Arial"/>
          <w:sz w:val="20"/>
        </w:rPr>
      </w:pPr>
      <w:r w:rsidRPr="00B14C47">
        <w:rPr>
          <w:rFonts w:ascii="Arial" w:hAnsi="Arial" w:cs="Arial"/>
          <w:sz w:val="20"/>
        </w:rPr>
        <w:t>Индивидуален отчет за промените в собствения капитал за периода;</w:t>
      </w:r>
    </w:p>
    <w:p w14:paraId="369AF252" w14:textId="77777777" w:rsidR="00DA6815" w:rsidRPr="00B14C47" w:rsidRDefault="00DA6815" w:rsidP="00057C67">
      <w:pPr>
        <w:numPr>
          <w:ilvl w:val="0"/>
          <w:numId w:val="7"/>
        </w:numPr>
        <w:rPr>
          <w:rFonts w:ascii="Arial" w:hAnsi="Arial" w:cs="Arial"/>
          <w:sz w:val="20"/>
        </w:rPr>
      </w:pPr>
      <w:r w:rsidRPr="00B14C47">
        <w:rPr>
          <w:rFonts w:ascii="Arial" w:hAnsi="Arial" w:cs="Arial"/>
          <w:sz w:val="20"/>
        </w:rPr>
        <w:t>Индивидуален отчет за паричните потоци за периода;</w:t>
      </w:r>
    </w:p>
    <w:p w14:paraId="714F11D2" w14:textId="77777777" w:rsidR="00DA6815" w:rsidRPr="00B14C47" w:rsidRDefault="00DA6815" w:rsidP="00057C67">
      <w:pPr>
        <w:numPr>
          <w:ilvl w:val="0"/>
          <w:numId w:val="7"/>
        </w:numPr>
        <w:rPr>
          <w:rFonts w:ascii="Arial" w:hAnsi="Arial" w:cs="Arial"/>
          <w:sz w:val="20"/>
        </w:rPr>
      </w:pPr>
      <w:r w:rsidRPr="00B14C47">
        <w:rPr>
          <w:rFonts w:ascii="Arial" w:hAnsi="Arial" w:cs="Arial"/>
          <w:sz w:val="20"/>
        </w:rPr>
        <w:t>пояснителни приложения, представляващи обобщение на по-важните счетоводни политики и друга пояснителна информация, сравнителна информация по отношение на предходния период</w:t>
      </w:r>
      <w:r w:rsidR="008B70BF" w:rsidRPr="00B14C47">
        <w:rPr>
          <w:rFonts w:ascii="Arial" w:hAnsi="Arial" w:cs="Arial"/>
          <w:sz w:val="20"/>
        </w:rPr>
        <w:t>.</w:t>
      </w:r>
    </w:p>
    <w:p w14:paraId="016BA3EC" w14:textId="77777777" w:rsidR="00DA6815" w:rsidRPr="00B14C47" w:rsidRDefault="00DA6815" w:rsidP="00DA6815">
      <w:pPr>
        <w:rPr>
          <w:rFonts w:ascii="Arial" w:hAnsi="Arial" w:cs="Arial"/>
          <w:sz w:val="20"/>
        </w:rPr>
      </w:pPr>
      <w:r w:rsidRPr="00B14C47">
        <w:rPr>
          <w:rFonts w:ascii="Arial" w:hAnsi="Arial" w:cs="Arial"/>
          <w:sz w:val="20"/>
        </w:rPr>
        <w:t>Представят се с еднакво значение всички финансови отчети в пълен комплект от финансови отчети.</w:t>
      </w:r>
    </w:p>
    <w:p w14:paraId="197C4750" w14:textId="77777777" w:rsidR="00DA6815" w:rsidRPr="00B14C47" w:rsidRDefault="00DA6815" w:rsidP="00DA6815">
      <w:pPr>
        <w:rPr>
          <w:rFonts w:ascii="Arial" w:hAnsi="Arial" w:cs="Arial"/>
          <w:sz w:val="20"/>
        </w:rPr>
      </w:pPr>
    </w:p>
    <w:p w14:paraId="4FC892D7" w14:textId="77777777" w:rsidR="00DA6815" w:rsidRPr="00B14C47" w:rsidRDefault="00D34EF6" w:rsidP="00DA6815">
      <w:pPr>
        <w:rPr>
          <w:rFonts w:ascii="Arial" w:hAnsi="Arial" w:cs="Arial"/>
          <w:sz w:val="20"/>
        </w:rPr>
      </w:pPr>
      <w:r w:rsidRPr="00B14C47">
        <w:rPr>
          <w:rFonts w:ascii="Arial" w:hAnsi="Arial" w:cs="Arial"/>
          <w:sz w:val="20"/>
        </w:rPr>
        <w:t>Изборът</w:t>
      </w:r>
      <w:r w:rsidR="00DA6815" w:rsidRPr="00B14C47">
        <w:rPr>
          <w:rFonts w:ascii="Arial" w:hAnsi="Arial" w:cs="Arial"/>
          <w:sz w:val="20"/>
        </w:rPr>
        <w:t xml:space="preserve"> на ръководството е да представи един индивидуален отчет за печалбата или загубата и другия всеобхватен доход.</w:t>
      </w:r>
    </w:p>
    <w:p w14:paraId="5CB63216" w14:textId="77777777" w:rsidR="00DA6815" w:rsidRPr="00B14C47" w:rsidRDefault="00DA6815" w:rsidP="00DA6815">
      <w:pPr>
        <w:rPr>
          <w:rFonts w:ascii="Arial" w:hAnsi="Arial" w:cs="Arial"/>
          <w:sz w:val="20"/>
        </w:rPr>
      </w:pPr>
    </w:p>
    <w:p w14:paraId="54AC4E68" w14:textId="77777777" w:rsidR="00DA6815" w:rsidRPr="00B14C47" w:rsidRDefault="00DA6815" w:rsidP="00DA6815">
      <w:pPr>
        <w:rPr>
          <w:rFonts w:ascii="Arial" w:hAnsi="Arial" w:cs="Arial"/>
          <w:sz w:val="20"/>
        </w:rPr>
      </w:pPr>
      <w:r w:rsidRPr="00B14C47">
        <w:rPr>
          <w:rFonts w:ascii="Arial" w:hAnsi="Arial" w:cs="Arial"/>
          <w:sz w:val="20"/>
        </w:rPr>
        <w:t xml:space="preserve">Ръководството е избрало да </w:t>
      </w:r>
      <w:r w:rsidR="001902B5" w:rsidRPr="00B14C47">
        <w:rPr>
          <w:rFonts w:ascii="Arial" w:hAnsi="Arial" w:cs="Arial"/>
          <w:sz w:val="20"/>
        </w:rPr>
        <w:t xml:space="preserve">представя </w:t>
      </w:r>
      <w:r w:rsidRPr="00B14C47">
        <w:rPr>
          <w:rFonts w:ascii="Arial" w:hAnsi="Arial" w:cs="Arial"/>
          <w:sz w:val="20"/>
        </w:rPr>
        <w:t xml:space="preserve">компонентите на другия всеобхватен доход преди свързаните данъчни ефекти. Данъка между компонентите </w:t>
      </w:r>
      <w:r w:rsidR="001902B5" w:rsidRPr="00B14C47">
        <w:rPr>
          <w:rFonts w:ascii="Arial" w:hAnsi="Arial" w:cs="Arial"/>
          <w:sz w:val="20"/>
        </w:rPr>
        <w:t>с</w:t>
      </w:r>
      <w:r w:rsidRPr="00B14C47">
        <w:rPr>
          <w:rFonts w:ascii="Arial" w:hAnsi="Arial" w:cs="Arial"/>
          <w:sz w:val="20"/>
        </w:rPr>
        <w:t xml:space="preserve">е </w:t>
      </w:r>
      <w:r w:rsidR="001902B5" w:rsidRPr="00B14C47">
        <w:rPr>
          <w:rFonts w:ascii="Arial" w:hAnsi="Arial" w:cs="Arial"/>
          <w:sz w:val="20"/>
        </w:rPr>
        <w:t xml:space="preserve">разпределя </w:t>
      </w:r>
      <w:r w:rsidRPr="00B14C47">
        <w:rPr>
          <w:rFonts w:ascii="Arial" w:hAnsi="Arial" w:cs="Arial"/>
          <w:sz w:val="20"/>
        </w:rPr>
        <w:t>между тези, които биха могли впоследствие да бъдат прекласифицирани в раздела на печалбата или загубата, и тези, които няма впоследствие да бъдат прекласифицирани в този раздел.</w:t>
      </w:r>
    </w:p>
    <w:p w14:paraId="7148D281" w14:textId="77777777" w:rsidR="00B66DF8" w:rsidRPr="00B14C47" w:rsidRDefault="00B66DF8" w:rsidP="00B66DF8">
      <w:pPr>
        <w:rPr>
          <w:rFonts w:ascii="Arial" w:hAnsi="Arial" w:cs="Arial"/>
          <w:sz w:val="20"/>
        </w:rPr>
      </w:pPr>
    </w:p>
    <w:p w14:paraId="11C0A031" w14:textId="77777777" w:rsidR="00B66DF8" w:rsidRPr="00B14C47" w:rsidRDefault="00B66DF8" w:rsidP="00B66DF8">
      <w:pPr>
        <w:pStyle w:val="Heading3"/>
        <w:spacing w:before="0"/>
        <w:rPr>
          <w:rFonts w:ascii="Arial" w:hAnsi="Arial" w:cs="Arial"/>
          <w:lang w:val="bg-BG"/>
        </w:rPr>
      </w:pPr>
      <w:bookmarkStart w:id="44" w:name="_Toc96871855"/>
      <w:bookmarkStart w:id="45" w:name="_Toc164268332"/>
      <w:r w:rsidRPr="00B14C47">
        <w:rPr>
          <w:rFonts w:ascii="Arial" w:hAnsi="Arial" w:cs="Arial"/>
          <w:lang w:val="bg-BG"/>
        </w:rPr>
        <w:t>Допустимо алтернативно третиране</w:t>
      </w:r>
      <w:bookmarkEnd w:id="44"/>
      <w:bookmarkEnd w:id="45"/>
    </w:p>
    <w:p w14:paraId="25CE3F0F" w14:textId="77777777" w:rsidR="00490113" w:rsidRPr="00B14C47" w:rsidRDefault="00490113" w:rsidP="00490113">
      <w:pPr>
        <w:rPr>
          <w:rFonts w:ascii="Arial" w:hAnsi="Arial" w:cs="Arial"/>
          <w:sz w:val="20"/>
        </w:rPr>
      </w:pPr>
      <w:r w:rsidRPr="00B14C47">
        <w:rPr>
          <w:rFonts w:ascii="Arial" w:hAnsi="Arial" w:cs="Arial"/>
          <w:sz w:val="20"/>
        </w:rPr>
        <w:t xml:space="preserve">В определени случаи, МСФО позволява повече от едно възможно счетоводно третиране на определена сделка или събитие. Лицата, изготвящи финансовите отчети, трябва да изберат това третиране, което най-точно съответства на дейността на Дружеството. </w:t>
      </w:r>
    </w:p>
    <w:p w14:paraId="7455F252" w14:textId="77777777" w:rsidR="00490113" w:rsidRPr="00B14C47" w:rsidRDefault="00490113" w:rsidP="00490113">
      <w:pPr>
        <w:rPr>
          <w:rFonts w:ascii="Arial" w:hAnsi="Arial" w:cs="Arial"/>
          <w:sz w:val="20"/>
        </w:rPr>
      </w:pPr>
      <w:r w:rsidRPr="00B14C47">
        <w:rPr>
          <w:rFonts w:ascii="Arial" w:hAnsi="Arial" w:cs="Arial"/>
          <w:sz w:val="20"/>
        </w:rPr>
        <w:t xml:space="preserve">Съгласно МСС 8, от  Дружеството се изисква да подбере и да прилага своите счетоводни политики последователно за подобните сделки и/или за други събития и условия, освен когато даден МСФО конкретно изисква или позволява категоризация на позициите, за които могат да са подходящи различни политики. Когато даден МСФО изисква или позволява такава категоризация, за всяка една отделна категория се подбира и последователно се прилага най-подходящата счетоводна </w:t>
      </w:r>
      <w:r w:rsidRPr="00B14C47">
        <w:rPr>
          <w:rFonts w:ascii="Arial" w:hAnsi="Arial" w:cs="Arial"/>
          <w:sz w:val="20"/>
        </w:rPr>
        <w:lastRenderedPageBreak/>
        <w:t>политика. Поради това, след като вече е избрано някое от алтернативните третирания, то се превръща в счетоводна политика и трябва да бъде последователно прилагано. Промени по счетоводната политика трябва да се извършват само когато това се изисква по силата на стандарт или тълкуване, или ако, в резултат на промяната, въпросните финансови отчети ще предоставят по-надеждна и релевантна информация.</w:t>
      </w:r>
    </w:p>
    <w:p w14:paraId="203E25C2" w14:textId="77777777" w:rsidR="00490113" w:rsidRPr="00B14C47" w:rsidRDefault="00490113" w:rsidP="00490113">
      <w:pPr>
        <w:rPr>
          <w:rFonts w:ascii="Arial" w:hAnsi="Arial" w:cs="Arial"/>
          <w:sz w:val="20"/>
        </w:rPr>
      </w:pPr>
      <w:r w:rsidRPr="00B14C47">
        <w:rPr>
          <w:rFonts w:ascii="Arial" w:hAnsi="Arial" w:cs="Arial"/>
          <w:sz w:val="20"/>
        </w:rPr>
        <w:t xml:space="preserve">В настоящата публикация, когато МСФО дава възможност за избор, Дружеството възприема едно от възможните третирания, а именно това, което е най-подходящо за обстоятелствата, в които се намира. В коментара се описва подробно коя е избраната политика, както и причините за този избор, и се представят накратко разликите в изискванията относно оповестяванията. </w:t>
      </w:r>
    </w:p>
    <w:p w14:paraId="0B3B4198" w14:textId="77777777" w:rsidR="00B66DF8" w:rsidRPr="00B14C47" w:rsidRDefault="00B66DF8" w:rsidP="00B66DF8">
      <w:pPr>
        <w:rPr>
          <w:rFonts w:ascii="Arial" w:hAnsi="Arial" w:cs="Arial"/>
          <w:sz w:val="20"/>
        </w:rPr>
      </w:pPr>
    </w:p>
    <w:p w14:paraId="7B502DF2" w14:textId="77777777" w:rsidR="00B66DF8" w:rsidRPr="00B14C47" w:rsidRDefault="00B66DF8" w:rsidP="00B66DF8">
      <w:pPr>
        <w:pStyle w:val="Heading3"/>
        <w:spacing w:before="0"/>
        <w:rPr>
          <w:rFonts w:ascii="Arial" w:hAnsi="Arial" w:cs="Arial"/>
          <w:lang w:val="bg-BG"/>
        </w:rPr>
      </w:pPr>
      <w:bookmarkStart w:id="46" w:name="_Toc96871856"/>
      <w:bookmarkStart w:id="47" w:name="_Toc164268333"/>
      <w:r w:rsidRPr="00B14C47">
        <w:rPr>
          <w:rFonts w:ascii="Arial" w:hAnsi="Arial" w:cs="Arial"/>
          <w:lang w:val="bg-BG"/>
        </w:rPr>
        <w:t>Финансов обзор от ръководството</w:t>
      </w:r>
      <w:bookmarkEnd w:id="46"/>
      <w:bookmarkEnd w:id="47"/>
    </w:p>
    <w:p w14:paraId="4DFF92ED" w14:textId="77777777" w:rsidR="00B66DF8" w:rsidRPr="00B14C47" w:rsidRDefault="00B66DF8" w:rsidP="00B66DF8">
      <w:pPr>
        <w:rPr>
          <w:rFonts w:ascii="Arial" w:hAnsi="Arial" w:cs="Arial"/>
          <w:sz w:val="20"/>
        </w:rPr>
      </w:pPr>
      <w:r w:rsidRPr="00B14C47">
        <w:rPr>
          <w:rFonts w:ascii="Arial" w:hAnsi="Arial" w:cs="Arial"/>
          <w:sz w:val="20"/>
        </w:rPr>
        <w:t xml:space="preserve">В допълнение към финансовите отчети, </w:t>
      </w:r>
      <w:r w:rsidR="006A51F6" w:rsidRPr="00B14C47">
        <w:rPr>
          <w:rFonts w:ascii="Arial" w:hAnsi="Arial" w:cs="Arial"/>
          <w:sz w:val="20"/>
        </w:rPr>
        <w:t>Дружеството представя</w:t>
      </w:r>
      <w:r w:rsidRPr="00B14C47">
        <w:rPr>
          <w:rFonts w:ascii="Arial" w:hAnsi="Arial" w:cs="Arial"/>
          <w:sz w:val="20"/>
        </w:rPr>
        <w:t xml:space="preserve"> </w:t>
      </w:r>
      <w:r w:rsidR="00221CF1" w:rsidRPr="00B14C47">
        <w:rPr>
          <w:rFonts w:ascii="Arial" w:hAnsi="Arial" w:cs="Arial"/>
          <w:sz w:val="20"/>
        </w:rPr>
        <w:t xml:space="preserve">Междинен </w:t>
      </w:r>
      <w:r w:rsidR="006A51F6" w:rsidRPr="00B14C47">
        <w:rPr>
          <w:rFonts w:ascii="Arial" w:hAnsi="Arial" w:cs="Arial"/>
          <w:sz w:val="20"/>
        </w:rPr>
        <w:t xml:space="preserve"> доклад за дейността</w:t>
      </w:r>
      <w:r w:rsidRPr="00B14C47">
        <w:rPr>
          <w:rFonts w:ascii="Arial" w:hAnsi="Arial" w:cs="Arial"/>
          <w:sz w:val="20"/>
        </w:rPr>
        <w:t xml:space="preserve">. В МСФО няма изискване да се представя такава информация, макар че параграф 13 от МСС 1 съдържа кратко описание на това, което може да бъде включено в един годишен доклад. През декември 2011г. Съветът по международни счетоводни стандарти (СМСС) издаде МСФО Изложение за практиката - </w:t>
      </w:r>
      <w:r w:rsidRPr="00B14C47">
        <w:rPr>
          <w:rFonts w:ascii="Arial" w:hAnsi="Arial" w:cs="Arial"/>
          <w:i/>
          <w:sz w:val="20"/>
        </w:rPr>
        <w:t xml:space="preserve">Коментар на ръководството, </w:t>
      </w:r>
      <w:r w:rsidRPr="00B14C47">
        <w:rPr>
          <w:rFonts w:ascii="Arial" w:hAnsi="Arial" w:cs="Arial"/>
          <w:sz w:val="20"/>
        </w:rPr>
        <w:t xml:space="preserve">който очертава една широка, необвързваща рамка за представянето на коментара на ръководството във връзка с финансовите отчети, изготвени в съответствие с МСФО. Ако Дружеството реши да следва указанията, съдържащи се в </w:t>
      </w:r>
      <w:r w:rsidRPr="00B14C47">
        <w:rPr>
          <w:rFonts w:ascii="Arial" w:hAnsi="Arial" w:cs="Arial"/>
          <w:i/>
          <w:sz w:val="20"/>
        </w:rPr>
        <w:t>Изложението за практиката</w:t>
      </w:r>
      <w:r w:rsidRPr="00B14C47">
        <w:rPr>
          <w:rFonts w:ascii="Arial" w:hAnsi="Arial" w:cs="Arial"/>
          <w:sz w:val="20"/>
        </w:rPr>
        <w:t xml:space="preserve">, то ръководството се насърчава да обясни степента, в която е било следвано </w:t>
      </w:r>
      <w:r w:rsidRPr="00B14C47">
        <w:rPr>
          <w:rFonts w:ascii="Arial" w:hAnsi="Arial" w:cs="Arial"/>
          <w:i/>
          <w:sz w:val="20"/>
        </w:rPr>
        <w:t>Изложението за практиката</w:t>
      </w:r>
      <w:r w:rsidRPr="00B14C47">
        <w:rPr>
          <w:rFonts w:ascii="Arial" w:hAnsi="Arial" w:cs="Arial"/>
          <w:sz w:val="20"/>
        </w:rPr>
        <w:t xml:space="preserve">. Изявлението за съответствие с </w:t>
      </w:r>
      <w:r w:rsidRPr="00B14C47">
        <w:rPr>
          <w:rFonts w:ascii="Arial" w:hAnsi="Arial" w:cs="Arial"/>
          <w:i/>
          <w:sz w:val="20"/>
        </w:rPr>
        <w:t>Изложението за практиката</w:t>
      </w:r>
      <w:r w:rsidRPr="00B14C47">
        <w:rPr>
          <w:rFonts w:ascii="Arial" w:hAnsi="Arial" w:cs="Arial"/>
          <w:sz w:val="20"/>
        </w:rPr>
        <w:t xml:space="preserve"> се допуска само, ако въпросното </w:t>
      </w:r>
      <w:r w:rsidRPr="00B14C47">
        <w:rPr>
          <w:rFonts w:ascii="Arial" w:hAnsi="Arial" w:cs="Arial"/>
          <w:i/>
          <w:sz w:val="20"/>
        </w:rPr>
        <w:t>Изложение</w:t>
      </w:r>
      <w:r w:rsidRPr="00B14C47">
        <w:rPr>
          <w:rFonts w:ascii="Arial" w:hAnsi="Arial" w:cs="Arial"/>
          <w:sz w:val="20"/>
        </w:rPr>
        <w:t xml:space="preserve"> е било следвано изцяло.</w:t>
      </w:r>
    </w:p>
    <w:p w14:paraId="60B46B3B" w14:textId="77777777" w:rsidR="00B66DF8" w:rsidRPr="00B14C47" w:rsidRDefault="00B66DF8" w:rsidP="00B66DF8">
      <w:pPr>
        <w:rPr>
          <w:rFonts w:ascii="Arial" w:hAnsi="Arial" w:cs="Arial"/>
          <w:sz w:val="20"/>
        </w:rPr>
      </w:pPr>
      <w:r w:rsidRPr="00B14C47">
        <w:rPr>
          <w:rFonts w:ascii="Arial" w:hAnsi="Arial" w:cs="Arial"/>
          <w:sz w:val="20"/>
        </w:rPr>
        <w:t xml:space="preserve">Съдържанието на финансовия обзор от ръководството се определя от местни изисквания на пазара и от въпросите, които са специфични за дадена юрисдикция. Поради това, Дружеството не е представило финансов обзор от ръководството, а </w:t>
      </w:r>
      <w:r w:rsidR="00221CF1" w:rsidRPr="00B14C47">
        <w:rPr>
          <w:rFonts w:ascii="Arial" w:hAnsi="Arial" w:cs="Arial"/>
          <w:sz w:val="20"/>
        </w:rPr>
        <w:t>Междинен</w:t>
      </w:r>
      <w:r w:rsidRPr="00B14C47">
        <w:rPr>
          <w:rFonts w:ascii="Arial" w:hAnsi="Arial" w:cs="Arial"/>
          <w:sz w:val="20"/>
        </w:rPr>
        <w:t xml:space="preserve"> доклад за дейността.</w:t>
      </w:r>
    </w:p>
    <w:p w14:paraId="0482AE2C" w14:textId="77777777" w:rsidR="00B66DF8" w:rsidRPr="00B14C47" w:rsidRDefault="00B66DF8" w:rsidP="00B66DF8">
      <w:pPr>
        <w:rPr>
          <w:rFonts w:ascii="Arial" w:hAnsi="Arial" w:cs="Arial"/>
          <w:sz w:val="20"/>
        </w:rPr>
      </w:pPr>
    </w:p>
    <w:p w14:paraId="24608B81" w14:textId="77777777" w:rsidR="00B66DF8" w:rsidRPr="00B14C47" w:rsidRDefault="00B66DF8" w:rsidP="00B66DF8">
      <w:pPr>
        <w:pStyle w:val="Heading2"/>
        <w:spacing w:before="0"/>
        <w:rPr>
          <w:rFonts w:ascii="Arial" w:hAnsi="Arial" w:cs="Arial"/>
          <w:i/>
          <w:sz w:val="20"/>
          <w:szCs w:val="20"/>
          <w:lang w:val="bg-BG"/>
        </w:rPr>
      </w:pPr>
      <w:bookmarkStart w:id="48" w:name="_Toc164268334"/>
      <w:r w:rsidRPr="00B14C47">
        <w:rPr>
          <w:rFonts w:ascii="Arial" w:hAnsi="Arial" w:cs="Arial"/>
          <w:i/>
          <w:sz w:val="20"/>
          <w:szCs w:val="20"/>
          <w:lang w:val="bg-BG"/>
        </w:rPr>
        <w:t>ПРИЗНАВАНЕ НА ПРИХОД</w:t>
      </w:r>
      <w:bookmarkEnd w:id="48"/>
      <w:r w:rsidRPr="00B14C47">
        <w:rPr>
          <w:rFonts w:ascii="Arial" w:hAnsi="Arial" w:cs="Arial"/>
          <w:i/>
          <w:sz w:val="20"/>
          <w:szCs w:val="20"/>
          <w:lang w:val="bg-BG"/>
        </w:rPr>
        <w:t xml:space="preserve"> </w:t>
      </w:r>
    </w:p>
    <w:p w14:paraId="26D48C36" w14:textId="77777777" w:rsidR="00FC1BC2" w:rsidRPr="00B14C47" w:rsidRDefault="00FC1BC2" w:rsidP="00FC1BC2">
      <w:pPr>
        <w:rPr>
          <w:rFonts w:ascii="Arial" w:hAnsi="Arial" w:cs="Arial"/>
          <w:sz w:val="20"/>
        </w:rPr>
      </w:pPr>
      <w:r w:rsidRPr="00B14C47">
        <w:rPr>
          <w:rFonts w:ascii="Arial" w:hAnsi="Arial" w:cs="Arial"/>
          <w:sz w:val="20"/>
        </w:rPr>
        <w:t>Приходите в дружеството се признават на база принципа за начисляване и до степента, до която стопанските изгоди се придобиват от дружеството и доколкото приходите могат надеждно да се измерят.</w:t>
      </w:r>
    </w:p>
    <w:p w14:paraId="4313BDDF" w14:textId="77777777" w:rsidR="00FC1BC2" w:rsidRPr="00B14C47" w:rsidRDefault="00FC1BC2" w:rsidP="00FC1BC2">
      <w:pPr>
        <w:rPr>
          <w:rFonts w:ascii="Arial" w:hAnsi="Arial" w:cs="Arial"/>
          <w:sz w:val="20"/>
        </w:rPr>
      </w:pPr>
      <w:r w:rsidRPr="00B14C47">
        <w:rPr>
          <w:rFonts w:ascii="Arial" w:hAnsi="Arial" w:cs="Arial"/>
          <w:sz w:val="20"/>
        </w:rPr>
        <w:t>Приходите се оценяват на база справедливата цена на предоставените активи или услуги, нетно от косвени данъци (данък добавена стойност) и предоставени отстъпки.</w:t>
      </w:r>
    </w:p>
    <w:p w14:paraId="6767EE13" w14:textId="77777777" w:rsidR="00FC1BC2" w:rsidRPr="00B14C47" w:rsidRDefault="00FC1BC2" w:rsidP="00FC1BC2">
      <w:pPr>
        <w:rPr>
          <w:rFonts w:ascii="Arial" w:hAnsi="Arial" w:cs="Arial"/>
          <w:sz w:val="20"/>
        </w:rPr>
      </w:pPr>
      <w:r w:rsidRPr="00B14C47">
        <w:rPr>
          <w:rFonts w:ascii="Arial" w:hAnsi="Arial" w:cs="Arial"/>
          <w:sz w:val="20"/>
        </w:rPr>
        <w:t>При предоставянето на услуги, приходите се признават, отчитайки етапа на завършеност на сделката към края на отчетния период, ако този етап може да бъде надеждно измерен, както и разходите, извършени по сделката и разходите за приключването й.</w:t>
      </w:r>
    </w:p>
    <w:p w14:paraId="1925357B" w14:textId="77777777" w:rsidR="00FC1BC2" w:rsidRPr="00B14C47" w:rsidRDefault="00FC1BC2" w:rsidP="00FC1BC2">
      <w:pPr>
        <w:rPr>
          <w:rFonts w:ascii="Arial" w:hAnsi="Arial" w:cs="Arial"/>
          <w:sz w:val="20"/>
        </w:rPr>
      </w:pPr>
      <w:r w:rsidRPr="00B14C47">
        <w:rPr>
          <w:rFonts w:ascii="Arial" w:hAnsi="Arial" w:cs="Arial"/>
          <w:sz w:val="20"/>
        </w:rPr>
        <w:t>Приходите се оценяват на база справедливата цена на предоставените активи или услуги, нетно от косвени данъци (данък добавена стойност) и предоставени отстъпки.</w:t>
      </w:r>
    </w:p>
    <w:p w14:paraId="43817CB6" w14:textId="77777777" w:rsidR="00FC1BC2" w:rsidRPr="00B14C47" w:rsidRDefault="00FC1BC2" w:rsidP="00FC1BC2">
      <w:pPr>
        <w:rPr>
          <w:rFonts w:ascii="Arial" w:hAnsi="Arial" w:cs="Arial"/>
          <w:sz w:val="20"/>
        </w:rPr>
      </w:pPr>
      <w:r w:rsidRPr="00B14C47">
        <w:rPr>
          <w:rFonts w:ascii="Arial" w:hAnsi="Arial" w:cs="Arial"/>
          <w:sz w:val="20"/>
        </w:rPr>
        <w:t>Финансовите приходи включват приходи от лихви по инвестирани средства ( включително инвестиции, на разположение за продажба), приходи от дивиденти, печалба от продажба на финансови активи на разположение за продажба, печалби от операции с финансови инструменти, промени в справедливата стойност на финансови активи отчитани по справедлива стойност в печалбата или загубата, печалба от операции в чуждестранна валута, признати като печалби и загуби, печалба от продажба на инвестиции в дъщерни предприятия.</w:t>
      </w:r>
    </w:p>
    <w:p w14:paraId="599A2177" w14:textId="77777777" w:rsidR="00FC1BC2" w:rsidRPr="00B14C47" w:rsidRDefault="00FC1BC2" w:rsidP="00FC1BC2">
      <w:pPr>
        <w:rPr>
          <w:rFonts w:ascii="Arial" w:hAnsi="Arial" w:cs="Arial"/>
          <w:sz w:val="20"/>
        </w:rPr>
      </w:pPr>
      <w:r w:rsidRPr="00B14C47">
        <w:rPr>
          <w:rFonts w:ascii="Arial" w:hAnsi="Arial" w:cs="Arial"/>
          <w:sz w:val="20"/>
        </w:rPr>
        <w:t>Приходи от лихви се признават пропорционално за периода по метода на ефективната лихва. Ефективният лихвен процент е лихвата, която точно дисконтира очакваните бъдещи парични постъпления за периода на очаквания живот на финансовия инструмент или, когато е подходящо за по-къс период, до балансовата стойност на финансовия актив. Изчисляването включва всички такси и други възнаграждения, които са получени и са неразделна част от приходите по заеми изчислени с ефективния лихвен процент.</w:t>
      </w:r>
    </w:p>
    <w:p w14:paraId="0902B9C9" w14:textId="77777777" w:rsidR="00090D9E" w:rsidRPr="00B14C47" w:rsidRDefault="00090D9E" w:rsidP="00090D9E">
      <w:pPr>
        <w:rPr>
          <w:rFonts w:ascii="Arial" w:hAnsi="Arial" w:cs="Arial"/>
          <w:sz w:val="20"/>
        </w:rPr>
      </w:pPr>
      <w:r w:rsidRPr="00B14C47">
        <w:rPr>
          <w:rFonts w:ascii="Arial" w:hAnsi="Arial" w:cs="Arial"/>
          <w:sz w:val="20"/>
        </w:rPr>
        <w:t>Печалби от продажби на вземания и други финансови активи се признават в отчета за печалбата или загубата и другия всеобхватен доход на датата, на която Дружеството е прехвърлило правата си върху вземанията (финансовите активи) и вече не може да получава възвръщаемост от тях.</w:t>
      </w:r>
    </w:p>
    <w:p w14:paraId="489E088B" w14:textId="77777777" w:rsidR="00090D9E" w:rsidRPr="00B14C47" w:rsidRDefault="00FC1BC2" w:rsidP="00FC1BC2">
      <w:pPr>
        <w:rPr>
          <w:rFonts w:ascii="Arial" w:hAnsi="Arial" w:cs="Arial"/>
          <w:sz w:val="20"/>
        </w:rPr>
      </w:pPr>
      <w:r w:rsidRPr="00B14C47">
        <w:rPr>
          <w:rFonts w:ascii="Arial" w:hAnsi="Arial" w:cs="Arial"/>
          <w:sz w:val="20"/>
        </w:rPr>
        <w:t xml:space="preserve">Печалбите в резултат от покупко-продажби на вземания се представят като „Печалби от операции с финансови инструменти“ в приложенията към финансовия отчет.  Печалбите от покупко-продажби на вземания се признават при събиране или реализиране на вземане над балансовата му стойност </w:t>
      </w:r>
      <w:r w:rsidRPr="00B14C47">
        <w:rPr>
          <w:rFonts w:ascii="Arial" w:hAnsi="Arial" w:cs="Arial"/>
          <w:sz w:val="20"/>
          <w:lang w:val="en-US"/>
        </w:rPr>
        <w:t>(</w:t>
      </w:r>
      <w:r w:rsidRPr="00B14C47">
        <w:rPr>
          <w:rFonts w:ascii="Arial" w:hAnsi="Arial" w:cs="Arial"/>
          <w:sz w:val="20"/>
        </w:rPr>
        <w:t>цената на придобиване намалена с признати обезценки</w:t>
      </w:r>
      <w:r w:rsidRPr="00B14C47">
        <w:rPr>
          <w:rFonts w:ascii="Arial" w:hAnsi="Arial" w:cs="Arial"/>
          <w:sz w:val="20"/>
          <w:lang w:val="en-US"/>
        </w:rPr>
        <w:t>)</w:t>
      </w:r>
      <w:r w:rsidRPr="00B14C47">
        <w:rPr>
          <w:rFonts w:ascii="Arial" w:hAnsi="Arial" w:cs="Arial"/>
          <w:sz w:val="20"/>
        </w:rPr>
        <w:t xml:space="preserve">. </w:t>
      </w:r>
    </w:p>
    <w:p w14:paraId="71BAA2FF" w14:textId="77777777" w:rsidR="00FC1BC2" w:rsidRPr="00B14C47" w:rsidRDefault="00FC1BC2" w:rsidP="00FC1BC2">
      <w:pPr>
        <w:rPr>
          <w:rFonts w:ascii="Arial" w:hAnsi="Arial" w:cs="Arial"/>
          <w:sz w:val="20"/>
        </w:rPr>
      </w:pPr>
      <w:r w:rsidRPr="00B14C47">
        <w:rPr>
          <w:rFonts w:ascii="Arial" w:hAnsi="Arial" w:cs="Arial"/>
          <w:sz w:val="20"/>
        </w:rPr>
        <w:t>„Печалбите от операции с финансови инструменти“ се представят към „Финансови приходи“ в индивидуалния отчет за печалбата или загубата и другия всеобхватен доход.</w:t>
      </w:r>
    </w:p>
    <w:p w14:paraId="200BFD0F" w14:textId="77777777" w:rsidR="00FC1BC2" w:rsidRPr="00B14C47" w:rsidRDefault="00FC1BC2" w:rsidP="00FC1BC2">
      <w:pPr>
        <w:rPr>
          <w:rFonts w:ascii="Arial" w:hAnsi="Arial" w:cs="Arial"/>
          <w:sz w:val="20"/>
        </w:rPr>
      </w:pPr>
      <w:r w:rsidRPr="00B14C47">
        <w:rPr>
          <w:rFonts w:ascii="Arial" w:hAnsi="Arial" w:cs="Arial"/>
          <w:sz w:val="20"/>
        </w:rPr>
        <w:t>Приход от дивиденти се признава, когато се установи правото да се получи дивидент.</w:t>
      </w:r>
    </w:p>
    <w:p w14:paraId="06F7FC00" w14:textId="77777777" w:rsidR="00C8513D" w:rsidRPr="00B14C47" w:rsidRDefault="00C8513D" w:rsidP="00B66DF8">
      <w:pPr>
        <w:rPr>
          <w:rFonts w:ascii="Arial" w:hAnsi="Arial" w:cs="Arial"/>
          <w:sz w:val="20"/>
        </w:rPr>
      </w:pPr>
    </w:p>
    <w:p w14:paraId="728B2D6A" w14:textId="77777777" w:rsidR="00B66DF8" w:rsidRPr="00B14C47" w:rsidRDefault="00B66DF8" w:rsidP="00B66DF8">
      <w:pPr>
        <w:pStyle w:val="Heading2"/>
        <w:spacing w:before="0"/>
        <w:rPr>
          <w:rFonts w:ascii="Arial" w:hAnsi="Arial" w:cs="Arial"/>
          <w:i/>
          <w:sz w:val="20"/>
          <w:szCs w:val="20"/>
          <w:lang w:val="bg-BG"/>
        </w:rPr>
      </w:pPr>
      <w:bookmarkStart w:id="49" w:name="_Toc164268335"/>
      <w:r w:rsidRPr="00B14C47">
        <w:rPr>
          <w:rFonts w:ascii="Arial" w:hAnsi="Arial" w:cs="Arial"/>
          <w:i/>
          <w:sz w:val="20"/>
          <w:szCs w:val="20"/>
          <w:lang w:val="bg-BG"/>
        </w:rPr>
        <w:lastRenderedPageBreak/>
        <w:t>РАЗХОДИ</w:t>
      </w:r>
      <w:bookmarkEnd w:id="49"/>
    </w:p>
    <w:p w14:paraId="605A3C28" w14:textId="77777777" w:rsidR="001902B5" w:rsidRPr="00B14C47" w:rsidRDefault="001902B5" w:rsidP="001902B5">
      <w:pPr>
        <w:rPr>
          <w:rFonts w:ascii="Arial" w:hAnsi="Arial" w:cs="Arial"/>
          <w:spacing w:val="-1"/>
          <w:sz w:val="20"/>
        </w:rPr>
      </w:pPr>
      <w:bookmarkStart w:id="50" w:name="_Toc156995270"/>
      <w:bookmarkStart w:id="51" w:name="_Toc169634811"/>
      <w:r w:rsidRPr="00B14C47">
        <w:rPr>
          <w:rFonts w:ascii="Arial" w:hAnsi="Arial" w:cs="Arial"/>
          <w:spacing w:val="-1"/>
          <w:sz w:val="20"/>
        </w:rPr>
        <w:t xml:space="preserve">Дружеството отчита текущо разходите за дейността по икономически елементи и след това ги отнася по функционално предназначение с цел формиране размера на разходите по направления и дейности. Признаването на разходи за текущия период се извършва при начисляване на съответстващите им приходи. </w:t>
      </w:r>
    </w:p>
    <w:p w14:paraId="00C2C618" w14:textId="77777777" w:rsidR="001902B5" w:rsidRPr="00B14C47" w:rsidRDefault="001902B5" w:rsidP="001902B5">
      <w:pPr>
        <w:rPr>
          <w:rFonts w:ascii="Arial" w:hAnsi="Arial" w:cs="Arial"/>
          <w:spacing w:val="-1"/>
          <w:sz w:val="20"/>
        </w:rPr>
      </w:pPr>
      <w:r w:rsidRPr="00B14C47">
        <w:rPr>
          <w:rFonts w:ascii="Arial" w:hAnsi="Arial" w:cs="Arial"/>
          <w:spacing w:val="-1"/>
          <w:sz w:val="20"/>
        </w:rPr>
        <w:t xml:space="preserve">Разходите се отчитат на принципа на текущо начисляване. Оценяват се по справедливата стойност на платеното или на предстоящото за плащане. </w:t>
      </w:r>
    </w:p>
    <w:p w14:paraId="4B3627FD" w14:textId="77777777" w:rsidR="001902B5" w:rsidRPr="00B14C47" w:rsidRDefault="001902B5" w:rsidP="001902B5">
      <w:pPr>
        <w:rPr>
          <w:rFonts w:ascii="Arial" w:hAnsi="Arial" w:cs="Arial"/>
          <w:sz w:val="20"/>
        </w:rPr>
      </w:pPr>
      <w:r w:rsidRPr="00B14C47">
        <w:rPr>
          <w:rFonts w:ascii="Arial" w:hAnsi="Arial" w:cs="Arial"/>
          <w:sz w:val="20"/>
        </w:rPr>
        <w:t>Финансовите разходи включват разходи за лихви по заеми, загуби от операции в чуждестранна валута, загуби от операции с финансови инструменти, вкл. промени в справедливата стойност на финансови активи отчитани по справедлива стойност в печалбата или загубата, които се признават като печалба или загуба, банковите такси се представят като „други финансови разходи“, други преки разходи по получени кредити и банкови гаранции, загуби от продажба на инвестиции в дъщерни и асоциирани предприятия.</w:t>
      </w:r>
    </w:p>
    <w:p w14:paraId="77A8E143" w14:textId="77777777" w:rsidR="001902B5" w:rsidRPr="00B14C47" w:rsidRDefault="001902B5" w:rsidP="001902B5">
      <w:pPr>
        <w:rPr>
          <w:rFonts w:ascii="Arial" w:hAnsi="Arial" w:cs="Arial"/>
          <w:sz w:val="20"/>
        </w:rPr>
      </w:pPr>
      <w:r w:rsidRPr="00B14C47">
        <w:rPr>
          <w:rFonts w:ascii="Arial" w:hAnsi="Arial" w:cs="Arial"/>
          <w:sz w:val="20"/>
        </w:rPr>
        <w:t xml:space="preserve">Загубите от обезценки на финансови активи отчитани по цена на придобиване </w:t>
      </w:r>
      <w:r w:rsidRPr="00B14C47">
        <w:rPr>
          <w:rFonts w:ascii="Arial" w:hAnsi="Arial" w:cs="Arial"/>
          <w:sz w:val="20"/>
          <w:lang w:val="en-US"/>
        </w:rPr>
        <w:t>(</w:t>
      </w:r>
      <w:r w:rsidRPr="00B14C47">
        <w:rPr>
          <w:rFonts w:ascii="Arial" w:hAnsi="Arial" w:cs="Arial"/>
          <w:sz w:val="20"/>
        </w:rPr>
        <w:t>намалена с обезценки</w:t>
      </w:r>
      <w:r w:rsidRPr="00B14C47">
        <w:rPr>
          <w:rFonts w:ascii="Arial" w:hAnsi="Arial" w:cs="Arial"/>
          <w:sz w:val="20"/>
          <w:lang w:val="en-US"/>
        </w:rPr>
        <w:t>)</w:t>
      </w:r>
      <w:r w:rsidRPr="00B14C47">
        <w:rPr>
          <w:rFonts w:ascii="Arial" w:hAnsi="Arial" w:cs="Arial"/>
          <w:sz w:val="20"/>
        </w:rPr>
        <w:t xml:space="preserve"> се представят като разходи от обезценки в индивидуалния отчет за печалбата или загубата и другия всеобхватен доход. </w:t>
      </w:r>
    </w:p>
    <w:p w14:paraId="24D6B02B" w14:textId="77777777" w:rsidR="001902B5" w:rsidRPr="00B14C47" w:rsidRDefault="001902B5" w:rsidP="001902B5">
      <w:pPr>
        <w:rPr>
          <w:rFonts w:ascii="Arial" w:hAnsi="Arial" w:cs="Arial"/>
          <w:sz w:val="20"/>
        </w:rPr>
      </w:pPr>
      <w:r w:rsidRPr="00B14C47">
        <w:rPr>
          <w:rFonts w:ascii="Arial" w:hAnsi="Arial" w:cs="Arial"/>
          <w:sz w:val="20"/>
        </w:rPr>
        <w:t>Разходите за лихви по получени заеми се признават пропорционално за периода по метода на ефективната лихва. Ефективният лихвен процент е лихвата, която точно дисконтира очакваните бъдещи парични плащания за периода на очаквания живот на финансовия пасив. Изчисляването включва всички такси и други възнаграждения, които са платени и са неразделна част от разходите по заеми изчислени с ефективния лихвен процент.</w:t>
      </w:r>
    </w:p>
    <w:p w14:paraId="5B311997" w14:textId="77777777" w:rsidR="00090D9E" w:rsidRPr="00B14C47" w:rsidRDefault="00090D9E" w:rsidP="00090D9E">
      <w:pPr>
        <w:rPr>
          <w:rFonts w:ascii="Arial" w:hAnsi="Arial" w:cs="Arial"/>
          <w:sz w:val="20"/>
        </w:rPr>
      </w:pPr>
      <w:r w:rsidRPr="00B14C47">
        <w:rPr>
          <w:rFonts w:ascii="Arial" w:hAnsi="Arial" w:cs="Arial"/>
          <w:sz w:val="20"/>
        </w:rPr>
        <w:t>Загуби от продажби на вземания и други финансови активи се признават в отчета за печалбата или загубата и другия всеобхватен доход на датата, на която Дружеството е прехвърлило правата си върху вземанията (финансовите активи) и вече не може да получава възвръщаемост от тях.</w:t>
      </w:r>
    </w:p>
    <w:p w14:paraId="05AFAA00" w14:textId="77777777" w:rsidR="001902B5" w:rsidRPr="00B14C47" w:rsidRDefault="001902B5" w:rsidP="001902B5">
      <w:pPr>
        <w:rPr>
          <w:rFonts w:ascii="Arial" w:hAnsi="Arial" w:cs="Arial"/>
          <w:sz w:val="20"/>
        </w:rPr>
      </w:pPr>
      <w:r w:rsidRPr="00B14C47">
        <w:rPr>
          <w:rFonts w:ascii="Arial" w:hAnsi="Arial" w:cs="Arial"/>
          <w:sz w:val="20"/>
        </w:rPr>
        <w:t xml:space="preserve">Загубите в резултат от продажби на вземания се представят като „Загуби от операции с финансови инструменти“.  </w:t>
      </w:r>
    </w:p>
    <w:p w14:paraId="3F1963F1" w14:textId="77777777" w:rsidR="001902B5" w:rsidRPr="00B14C47" w:rsidRDefault="001902B5" w:rsidP="001902B5">
      <w:pPr>
        <w:rPr>
          <w:rFonts w:ascii="Arial" w:hAnsi="Arial" w:cs="Arial"/>
          <w:sz w:val="20"/>
        </w:rPr>
      </w:pPr>
      <w:r w:rsidRPr="00B14C47">
        <w:rPr>
          <w:rFonts w:ascii="Arial" w:hAnsi="Arial" w:cs="Arial"/>
          <w:sz w:val="20"/>
        </w:rPr>
        <w:t>Разходи по заеми, които не могат да се отнесат пряко към придобиването, строителството или производството на отговарящ на условията актив, се признават в печалби и загуби, като се използва метода на ефективния лихвен процент.</w:t>
      </w:r>
    </w:p>
    <w:p w14:paraId="4C1BF941" w14:textId="77777777" w:rsidR="001902B5" w:rsidRPr="00B14C47" w:rsidRDefault="001902B5" w:rsidP="001902B5">
      <w:pPr>
        <w:rPr>
          <w:rFonts w:ascii="Arial" w:hAnsi="Arial" w:cs="Arial"/>
          <w:sz w:val="20"/>
        </w:rPr>
      </w:pPr>
      <w:r w:rsidRPr="00B14C47">
        <w:rPr>
          <w:rFonts w:ascii="Arial" w:hAnsi="Arial" w:cs="Arial"/>
          <w:sz w:val="20"/>
        </w:rPr>
        <w:t>Печалби и загуби от курсови разлики се представят на нетна база съответно към финансови приходи или финансови разходи в индивидуалния отчет за печалбата или загубата и другия всеобхватен доход.</w:t>
      </w:r>
    </w:p>
    <w:bookmarkEnd w:id="50"/>
    <w:bookmarkEnd w:id="51"/>
    <w:p w14:paraId="6836113F" w14:textId="77777777" w:rsidR="009F1108" w:rsidRPr="00B14C47" w:rsidRDefault="009F1108" w:rsidP="00B66DF8">
      <w:pPr>
        <w:ind w:right="-1370"/>
        <w:jc w:val="left"/>
        <w:rPr>
          <w:rFonts w:ascii="Arial" w:hAnsi="Arial" w:cs="Arial"/>
          <w:color w:val="FF0000"/>
          <w:sz w:val="20"/>
        </w:rPr>
      </w:pPr>
    </w:p>
    <w:p w14:paraId="7D408788" w14:textId="77777777" w:rsidR="001902B5" w:rsidRPr="00B14C47" w:rsidRDefault="001902B5" w:rsidP="001902B5">
      <w:pPr>
        <w:pStyle w:val="Heading2"/>
        <w:spacing w:before="0"/>
        <w:rPr>
          <w:rFonts w:ascii="Arial" w:hAnsi="Arial" w:cs="Arial"/>
          <w:i/>
          <w:sz w:val="22"/>
          <w:szCs w:val="22"/>
        </w:rPr>
      </w:pPr>
      <w:bookmarkStart w:id="52" w:name="_Toc473124927"/>
      <w:bookmarkStart w:id="53" w:name="_Toc164268336"/>
      <w:r w:rsidRPr="00B14C47">
        <w:rPr>
          <w:rFonts w:ascii="Arial" w:hAnsi="Arial" w:cs="Arial"/>
          <w:i/>
          <w:sz w:val="22"/>
          <w:szCs w:val="22"/>
        </w:rPr>
        <w:t>ПЕЧАЛБИ ИЛИ ЗАГУБИ ЗА ПЕРИОДА</w:t>
      </w:r>
      <w:bookmarkEnd w:id="52"/>
      <w:bookmarkEnd w:id="53"/>
    </w:p>
    <w:p w14:paraId="2F9C70F5" w14:textId="77777777" w:rsidR="001902B5" w:rsidRPr="00B14C47" w:rsidRDefault="001902B5" w:rsidP="001902B5">
      <w:pPr>
        <w:rPr>
          <w:rFonts w:ascii="Arial" w:hAnsi="Arial" w:cs="Arial"/>
          <w:spacing w:val="-1"/>
          <w:sz w:val="20"/>
        </w:rPr>
      </w:pPr>
      <w:r w:rsidRPr="00B14C47">
        <w:rPr>
          <w:rFonts w:ascii="Arial" w:hAnsi="Arial" w:cs="Arial"/>
          <w:spacing w:val="-1"/>
          <w:sz w:val="20"/>
        </w:rPr>
        <w:t xml:space="preserve">Всички приходни и разходни статии, признати за периода, се включват в печалба или загуба, освен ако стандарт или разяснение от МСФО изискват друго. </w:t>
      </w:r>
    </w:p>
    <w:p w14:paraId="1FA626EC" w14:textId="77777777" w:rsidR="001902B5" w:rsidRPr="00B14C47" w:rsidRDefault="001902B5" w:rsidP="001902B5">
      <w:pPr>
        <w:rPr>
          <w:rFonts w:ascii="Arial" w:hAnsi="Arial" w:cs="Arial"/>
          <w:spacing w:val="-1"/>
          <w:sz w:val="20"/>
        </w:rPr>
      </w:pPr>
      <w:r w:rsidRPr="00B14C47">
        <w:rPr>
          <w:rFonts w:ascii="Arial" w:hAnsi="Arial" w:cs="Arial"/>
          <w:spacing w:val="-1"/>
          <w:sz w:val="20"/>
        </w:rPr>
        <w:t>Печалба или загуба е общата сума на приходите минус разходите, като се изключват компонентите на друг всеобхватен доход.</w:t>
      </w:r>
    </w:p>
    <w:p w14:paraId="442FDCE3" w14:textId="77777777" w:rsidR="001902B5" w:rsidRPr="00B14C47" w:rsidRDefault="001902B5" w:rsidP="001902B5">
      <w:pPr>
        <w:rPr>
          <w:rFonts w:ascii="Arial" w:hAnsi="Arial" w:cs="Arial"/>
        </w:rPr>
      </w:pPr>
    </w:p>
    <w:p w14:paraId="7B39D04B" w14:textId="77777777" w:rsidR="006D1A4E" w:rsidRPr="00B14C47" w:rsidRDefault="006D1A4E" w:rsidP="006D1A4E">
      <w:pPr>
        <w:keepNext/>
        <w:numPr>
          <w:ilvl w:val="2"/>
          <w:numId w:val="0"/>
        </w:numPr>
        <w:tabs>
          <w:tab w:val="left" w:pos="0"/>
        </w:tabs>
        <w:suppressAutoHyphens/>
        <w:outlineLvl w:val="2"/>
        <w:rPr>
          <w:rFonts w:ascii="Arial" w:hAnsi="Arial" w:cs="Arial"/>
          <w:b/>
          <w:bCs/>
          <w:iCs/>
          <w:color w:val="4F81BD"/>
          <w:sz w:val="20"/>
          <w:lang w:eastAsia="ar-SA"/>
        </w:rPr>
      </w:pPr>
      <w:bookmarkStart w:id="54" w:name="_Toc164268337"/>
      <w:r w:rsidRPr="00B14C47">
        <w:rPr>
          <w:rFonts w:ascii="Arial" w:hAnsi="Arial" w:cs="Arial"/>
          <w:b/>
          <w:bCs/>
          <w:iCs/>
          <w:color w:val="4F81BD"/>
          <w:sz w:val="20"/>
        </w:rPr>
        <w:t>Инвестиции в дъщерни предприятия</w:t>
      </w:r>
      <w:bookmarkEnd w:id="54"/>
      <w:r w:rsidRPr="00B14C47">
        <w:rPr>
          <w:rFonts w:ascii="Arial" w:hAnsi="Arial" w:cs="Arial"/>
          <w:b/>
          <w:bCs/>
          <w:iCs/>
          <w:color w:val="4F81BD"/>
          <w:sz w:val="20"/>
        </w:rPr>
        <w:t xml:space="preserve"> </w:t>
      </w:r>
    </w:p>
    <w:p w14:paraId="73F8D9A9" w14:textId="77777777" w:rsidR="00B203B0" w:rsidRPr="00B14C47" w:rsidRDefault="00B203B0" w:rsidP="00B203B0">
      <w:pPr>
        <w:rPr>
          <w:rFonts w:ascii="Arial" w:hAnsi="Arial" w:cs="Arial"/>
          <w:noProof/>
          <w:sz w:val="20"/>
        </w:rPr>
      </w:pPr>
      <w:r w:rsidRPr="00B14C47">
        <w:rPr>
          <w:rFonts w:ascii="Arial" w:hAnsi="Arial" w:cs="Arial"/>
          <w:noProof/>
          <w:sz w:val="20"/>
        </w:rPr>
        <w:t xml:space="preserve">Дружеството класифицира като инвестиции в дъщерни предприятия притежаваните от него акции и дялове в други дружества, над които упражнява контрол. Приема се, че е налице контрол, когато дружеството: </w:t>
      </w:r>
    </w:p>
    <w:p w14:paraId="2CC31185" w14:textId="77777777" w:rsidR="00B203B0" w:rsidRPr="00B14C47" w:rsidRDefault="00B203B0" w:rsidP="00057C67">
      <w:pPr>
        <w:numPr>
          <w:ilvl w:val="0"/>
          <w:numId w:val="13"/>
        </w:numPr>
        <w:rPr>
          <w:rFonts w:ascii="Arial" w:hAnsi="Arial" w:cs="Arial"/>
          <w:noProof/>
          <w:sz w:val="20"/>
        </w:rPr>
      </w:pPr>
      <w:r w:rsidRPr="00B14C47">
        <w:rPr>
          <w:rFonts w:ascii="Arial" w:hAnsi="Arial" w:cs="Arial"/>
          <w:noProof/>
          <w:sz w:val="20"/>
        </w:rPr>
        <w:t>притежава повече от половината от правата на глас в дадено предприятие;</w:t>
      </w:r>
    </w:p>
    <w:p w14:paraId="5283EF29" w14:textId="77777777" w:rsidR="00B203B0" w:rsidRPr="00B14C47" w:rsidRDefault="00B203B0" w:rsidP="00057C67">
      <w:pPr>
        <w:numPr>
          <w:ilvl w:val="0"/>
          <w:numId w:val="13"/>
        </w:numPr>
        <w:rPr>
          <w:rFonts w:ascii="Arial" w:hAnsi="Arial" w:cs="Arial"/>
          <w:noProof/>
          <w:sz w:val="20"/>
        </w:rPr>
      </w:pPr>
      <w:r w:rsidRPr="00B14C47">
        <w:rPr>
          <w:rFonts w:ascii="Arial" w:hAnsi="Arial" w:cs="Arial"/>
          <w:noProof/>
          <w:sz w:val="20"/>
        </w:rPr>
        <w:t>притежава половината или по-малко от половината права на глас в предприятие и :</w:t>
      </w:r>
    </w:p>
    <w:p w14:paraId="2A7ADB8D" w14:textId="77777777" w:rsidR="00B203B0" w:rsidRPr="00B14C47" w:rsidRDefault="00B203B0" w:rsidP="00057C67">
      <w:pPr>
        <w:numPr>
          <w:ilvl w:val="1"/>
          <w:numId w:val="15"/>
        </w:numPr>
        <w:rPr>
          <w:rFonts w:ascii="Arial" w:hAnsi="Arial" w:cs="Arial"/>
          <w:noProof/>
          <w:sz w:val="20"/>
        </w:rPr>
      </w:pPr>
      <w:r w:rsidRPr="00B14C47">
        <w:rPr>
          <w:rFonts w:ascii="Arial" w:hAnsi="Arial" w:cs="Arial"/>
          <w:noProof/>
          <w:sz w:val="20"/>
        </w:rPr>
        <w:t>притежава власт над повече от половината права на глас по силата на споразумение с други инвеститори;</w:t>
      </w:r>
    </w:p>
    <w:p w14:paraId="46457A07" w14:textId="77777777" w:rsidR="00B203B0" w:rsidRPr="00B14C47" w:rsidRDefault="00B203B0" w:rsidP="00057C67">
      <w:pPr>
        <w:numPr>
          <w:ilvl w:val="1"/>
          <w:numId w:val="15"/>
        </w:numPr>
        <w:rPr>
          <w:rFonts w:ascii="Arial" w:hAnsi="Arial" w:cs="Arial"/>
          <w:noProof/>
          <w:sz w:val="20"/>
        </w:rPr>
      </w:pPr>
      <w:r w:rsidRPr="00B14C47">
        <w:rPr>
          <w:rFonts w:ascii="Arial" w:hAnsi="Arial" w:cs="Arial"/>
          <w:noProof/>
          <w:sz w:val="20"/>
        </w:rPr>
        <w:t>притежава властта да управлява финансовата и оперативната политика на предприятието по силата на устав или споразумение;</w:t>
      </w:r>
    </w:p>
    <w:p w14:paraId="72673528" w14:textId="77777777" w:rsidR="00B203B0" w:rsidRPr="00B14C47" w:rsidRDefault="00B203B0" w:rsidP="00057C67">
      <w:pPr>
        <w:numPr>
          <w:ilvl w:val="1"/>
          <w:numId w:val="15"/>
        </w:numPr>
        <w:rPr>
          <w:rFonts w:ascii="Arial" w:hAnsi="Arial" w:cs="Arial"/>
          <w:noProof/>
          <w:sz w:val="20"/>
        </w:rPr>
      </w:pPr>
      <w:r w:rsidRPr="00B14C47">
        <w:rPr>
          <w:rFonts w:ascii="Arial" w:hAnsi="Arial" w:cs="Arial"/>
          <w:noProof/>
          <w:sz w:val="20"/>
        </w:rPr>
        <w:t>притежава властта да назначава или освобождава мнозинството от членовете на Съвета на директорите или еквивалентен ръководен орган и контролът над предприятието е чрез този съвет или орган; или</w:t>
      </w:r>
    </w:p>
    <w:p w14:paraId="7C6F3ED5" w14:textId="77777777" w:rsidR="00B203B0" w:rsidRPr="00B14C47" w:rsidRDefault="00B203B0" w:rsidP="00057C67">
      <w:pPr>
        <w:numPr>
          <w:ilvl w:val="1"/>
          <w:numId w:val="15"/>
        </w:numPr>
        <w:rPr>
          <w:rFonts w:ascii="Arial" w:hAnsi="Arial" w:cs="Arial"/>
          <w:noProof/>
          <w:sz w:val="20"/>
        </w:rPr>
      </w:pPr>
      <w:r w:rsidRPr="00B14C47">
        <w:rPr>
          <w:rFonts w:ascii="Arial" w:hAnsi="Arial" w:cs="Arial"/>
          <w:noProof/>
          <w:sz w:val="20"/>
        </w:rPr>
        <w:t>притежава властта да подава мнозинството от гласовете на заседания на Съвета на директорите или еквивалентен ръководен орган и контролът над предприятието е чрез този съвет или орган.</w:t>
      </w:r>
    </w:p>
    <w:p w14:paraId="52CA6298" w14:textId="77777777" w:rsidR="00B203B0" w:rsidRPr="00B14C47" w:rsidRDefault="00B203B0" w:rsidP="00B203B0">
      <w:pPr>
        <w:rPr>
          <w:rFonts w:ascii="Arial" w:hAnsi="Arial" w:cs="Arial"/>
          <w:noProof/>
          <w:sz w:val="20"/>
        </w:rPr>
      </w:pPr>
      <w:r w:rsidRPr="00B14C47">
        <w:rPr>
          <w:rFonts w:ascii="Arial" w:hAnsi="Arial" w:cs="Arial"/>
          <w:noProof/>
          <w:sz w:val="20"/>
        </w:rPr>
        <w:t>Дългосрочните инвестиции, представляващи акции и дялове в дъщерни дружества се представят в индивидуалния финансов отчет по цена на придобиване (себестойност), намалена със загубите от обезценки. Акциите и дяловете от дъщерни дружества не се търгуват на фондови борси и няма активен пазар за тях, което обстоятелство създава практически затруднения  за прилагането на алтернативни оценъчни методи за надеждно определяне  на справедливата им стойност.</w:t>
      </w:r>
    </w:p>
    <w:p w14:paraId="39354CBE" w14:textId="77777777" w:rsidR="00B203B0" w:rsidRPr="00B14C47" w:rsidRDefault="00B203B0" w:rsidP="00B203B0">
      <w:pPr>
        <w:rPr>
          <w:rFonts w:ascii="Arial" w:hAnsi="Arial" w:cs="Arial"/>
          <w:noProof/>
          <w:sz w:val="20"/>
        </w:rPr>
      </w:pPr>
      <w:r w:rsidRPr="00B14C47">
        <w:rPr>
          <w:rFonts w:ascii="Arial" w:hAnsi="Arial" w:cs="Arial"/>
          <w:noProof/>
          <w:sz w:val="20"/>
        </w:rPr>
        <w:lastRenderedPageBreak/>
        <w:t>Притежаваните от дружеството дългосрочни инвестиции подлежат на преглед за обезценка към края на всеки отчетен период. При установяване на условия за обезценка след като се определи нейния размер, същата се отразява в индивидуалния отчет за печалбата или загубата като “разходи от обезценка”.</w:t>
      </w:r>
    </w:p>
    <w:p w14:paraId="4CCDE19A" w14:textId="77777777" w:rsidR="00B203B0" w:rsidRPr="00B14C47" w:rsidRDefault="00B203B0" w:rsidP="00B203B0">
      <w:pPr>
        <w:rPr>
          <w:rFonts w:ascii="Arial" w:hAnsi="Arial" w:cs="Arial"/>
          <w:noProof/>
          <w:sz w:val="20"/>
        </w:rPr>
      </w:pPr>
      <w:r w:rsidRPr="00B14C47">
        <w:rPr>
          <w:rFonts w:ascii="Arial" w:hAnsi="Arial" w:cs="Arial"/>
          <w:noProof/>
          <w:sz w:val="20"/>
        </w:rPr>
        <w:t xml:space="preserve">При покупка и продажба на инвестиции в дъщерни дружества се прилага “дата на търгуване” (дата на сключване на сделката). </w:t>
      </w:r>
    </w:p>
    <w:p w14:paraId="11549CDA" w14:textId="77777777" w:rsidR="00B203B0" w:rsidRPr="00B14C47" w:rsidRDefault="00B203B0" w:rsidP="00B203B0">
      <w:pPr>
        <w:rPr>
          <w:rFonts w:ascii="Arial" w:hAnsi="Arial" w:cs="Arial"/>
          <w:noProof/>
          <w:sz w:val="20"/>
        </w:rPr>
      </w:pPr>
      <w:r w:rsidRPr="00B14C47">
        <w:rPr>
          <w:rFonts w:ascii="Arial" w:hAnsi="Arial" w:cs="Arial"/>
          <w:noProof/>
          <w:sz w:val="20"/>
        </w:rPr>
        <w:t>Инвестициите в дъщерни дружества се отписват, когато настъпят правните основания за това.</w:t>
      </w:r>
    </w:p>
    <w:p w14:paraId="2D331A07" w14:textId="77777777" w:rsidR="00C13E07" w:rsidRPr="00B14C47" w:rsidRDefault="00C13E07" w:rsidP="00B203B0">
      <w:pPr>
        <w:rPr>
          <w:rFonts w:ascii="Arial" w:hAnsi="Arial" w:cs="Arial"/>
          <w:noProof/>
          <w:sz w:val="20"/>
        </w:rPr>
      </w:pPr>
    </w:p>
    <w:p w14:paraId="1C7A53E4" w14:textId="77777777" w:rsidR="00CF65DB" w:rsidRPr="00B14C47" w:rsidRDefault="00CF65DB" w:rsidP="00BE533E">
      <w:pPr>
        <w:pStyle w:val="Heading3"/>
        <w:spacing w:before="0"/>
        <w:rPr>
          <w:rFonts w:ascii="Arial" w:hAnsi="Arial" w:cs="Arial"/>
          <w:lang w:val="bg-BG"/>
        </w:rPr>
      </w:pPr>
      <w:bookmarkStart w:id="55" w:name="_Toc164268338"/>
      <w:r w:rsidRPr="00B14C47">
        <w:rPr>
          <w:rFonts w:ascii="Arial" w:hAnsi="Arial" w:cs="Arial"/>
          <w:lang w:val="bg-BG"/>
        </w:rPr>
        <w:t>Финансови инструменти</w:t>
      </w:r>
      <w:bookmarkEnd w:id="55"/>
    </w:p>
    <w:p w14:paraId="1BF10109" w14:textId="77777777" w:rsidR="00FB6549" w:rsidRPr="00B14C47" w:rsidRDefault="00FB6549" w:rsidP="00FB6549">
      <w:pPr>
        <w:pStyle w:val="AFA"/>
        <w:spacing w:before="0" w:after="0" w:line="240" w:lineRule="auto"/>
        <w:ind w:firstLine="0"/>
        <w:rPr>
          <w:rFonts w:ascii="Arial" w:hAnsi="Arial" w:cs="Arial"/>
          <w:b/>
          <w:sz w:val="20"/>
        </w:rPr>
      </w:pPr>
    </w:p>
    <w:p w14:paraId="07C17A62" w14:textId="77777777" w:rsidR="00CF65DB" w:rsidRPr="00B14C47" w:rsidRDefault="00CF65DB" w:rsidP="00BE533E">
      <w:pPr>
        <w:pStyle w:val="AFA"/>
        <w:spacing w:before="0" w:after="0" w:line="240" w:lineRule="auto"/>
        <w:ind w:firstLine="0"/>
        <w:rPr>
          <w:rFonts w:ascii="Arial" w:hAnsi="Arial" w:cs="Arial"/>
          <w:color w:val="4472C4" w:themeColor="accent1"/>
          <w:sz w:val="20"/>
        </w:rPr>
      </w:pPr>
      <w:r w:rsidRPr="00B14C47">
        <w:rPr>
          <w:rFonts w:ascii="Arial" w:hAnsi="Arial" w:cs="Arial"/>
          <w:b/>
          <w:color w:val="4472C4" w:themeColor="accent1"/>
          <w:sz w:val="20"/>
        </w:rPr>
        <w:t>Финансови активи</w:t>
      </w:r>
      <w:r w:rsidRPr="00B14C47">
        <w:rPr>
          <w:rFonts w:ascii="Arial" w:hAnsi="Arial" w:cs="Arial"/>
          <w:color w:val="4472C4" w:themeColor="accent1"/>
          <w:sz w:val="20"/>
        </w:rPr>
        <w:t xml:space="preserve"> </w:t>
      </w:r>
      <w:bookmarkStart w:id="56" w:name="_Toc530821668"/>
      <w:bookmarkStart w:id="57" w:name="_Toc4428433"/>
    </w:p>
    <w:p w14:paraId="2480B95A" w14:textId="77777777" w:rsidR="00CF65DB" w:rsidRPr="00B14C47" w:rsidRDefault="00CF65DB" w:rsidP="00BE533E">
      <w:pPr>
        <w:pStyle w:val="AFA"/>
        <w:spacing w:before="0" w:after="0" w:line="240" w:lineRule="auto"/>
        <w:ind w:firstLine="0"/>
        <w:rPr>
          <w:rFonts w:ascii="Arial" w:hAnsi="Arial" w:cs="Arial"/>
          <w:sz w:val="20"/>
        </w:rPr>
      </w:pPr>
      <w:r w:rsidRPr="00B14C47">
        <w:rPr>
          <w:rFonts w:ascii="Arial" w:hAnsi="Arial" w:cs="Arial"/>
          <w:sz w:val="20"/>
        </w:rPr>
        <w:t>Финансовите активи на Дружеството включват паричните средства, търговските  вземания, вземания от свързани предприятия и вземания по търговски заеми. Те се държат от Дружеството с цел получаване на договорените парични потоци и са класифицирани като Дългови инструменти /Финансови активи, отчитани по амортизирана стойност.</w:t>
      </w:r>
    </w:p>
    <w:p w14:paraId="79536A90" w14:textId="77777777" w:rsidR="00CF65DB" w:rsidRPr="00B14C47" w:rsidRDefault="00CF65DB" w:rsidP="0076262B">
      <w:pPr>
        <w:pStyle w:val="BodyText2"/>
        <w:spacing w:after="0" w:line="240" w:lineRule="auto"/>
        <w:rPr>
          <w:rFonts w:ascii="Arial" w:hAnsi="Arial" w:cs="Arial"/>
        </w:rPr>
      </w:pPr>
      <w:r w:rsidRPr="00B14C47">
        <w:rPr>
          <w:rFonts w:ascii="Arial" w:hAnsi="Arial" w:cs="Arial"/>
        </w:rPr>
        <w:t xml:space="preserve">Ръководството определя класификацията на финансовите активи на дружеството към датата на първоначалното им признаване в </w:t>
      </w:r>
      <w:r w:rsidR="00FB19ED" w:rsidRPr="00B14C47">
        <w:rPr>
          <w:rFonts w:ascii="Arial" w:hAnsi="Arial" w:cs="Arial"/>
          <w:lang w:val="bg-BG"/>
        </w:rPr>
        <w:t>индивидуалния</w:t>
      </w:r>
      <w:r w:rsidRPr="00B14C47">
        <w:rPr>
          <w:rFonts w:ascii="Arial" w:hAnsi="Arial" w:cs="Arial"/>
        </w:rPr>
        <w:t xml:space="preserve"> отчет за финансовото </w:t>
      </w:r>
      <w:proofErr w:type="gramStart"/>
      <w:r w:rsidRPr="00B14C47">
        <w:rPr>
          <w:rFonts w:ascii="Arial" w:hAnsi="Arial" w:cs="Arial"/>
        </w:rPr>
        <w:t>състояние .</w:t>
      </w:r>
      <w:proofErr w:type="gramEnd"/>
    </w:p>
    <w:p w14:paraId="102C1159" w14:textId="77777777" w:rsidR="00CF65DB" w:rsidRPr="00B14C47" w:rsidRDefault="00CF65DB" w:rsidP="0076262B">
      <w:pPr>
        <w:pStyle w:val="BodyText2"/>
        <w:tabs>
          <w:tab w:val="left" w:pos="851"/>
        </w:tabs>
        <w:spacing w:after="0" w:line="240" w:lineRule="auto"/>
        <w:rPr>
          <w:rFonts w:ascii="Arial" w:hAnsi="Arial" w:cs="Arial"/>
        </w:rPr>
      </w:pPr>
      <w:r w:rsidRPr="00B14C47">
        <w:rPr>
          <w:rFonts w:ascii="Arial" w:hAnsi="Arial" w:cs="Arial"/>
        </w:rPr>
        <w:t xml:space="preserve">Обичайно дружеството признава в отчета за финансовото състояние финансовите активи на датата на търгуване – датата, на която то се е обвързало (поело е окончателен ангажимент) да закупи съответните финансови активи. Всички финансови активи първоначално се оценяват по тяхната справедлива стойност плюс преките разходи по транзакцията, с изключение на тези активи, които са по справедлива стойност през печалби и загуби. Последните се признават по справедлива стойност, а преките разходи по транзакцията се признават веднага в </w:t>
      </w:r>
      <w:r w:rsidR="00FB19ED" w:rsidRPr="00B14C47">
        <w:rPr>
          <w:rFonts w:ascii="Arial" w:hAnsi="Arial" w:cs="Arial"/>
          <w:lang w:val="bg-BG"/>
        </w:rPr>
        <w:t xml:space="preserve">индивидуалния </w:t>
      </w:r>
      <w:r w:rsidRPr="00B14C47">
        <w:rPr>
          <w:rFonts w:ascii="Arial" w:hAnsi="Arial" w:cs="Arial"/>
        </w:rPr>
        <w:t xml:space="preserve">отчет за всеобхватния доход. </w:t>
      </w:r>
    </w:p>
    <w:p w14:paraId="05A240B4" w14:textId="77777777" w:rsidR="00FB6549" w:rsidRPr="00B14C47" w:rsidRDefault="00FB6549" w:rsidP="00BE533E">
      <w:pPr>
        <w:pStyle w:val="Heading3"/>
        <w:spacing w:before="0"/>
        <w:rPr>
          <w:rFonts w:ascii="Arial" w:hAnsi="Arial" w:cs="Arial"/>
          <w:color w:val="4472C4" w:themeColor="accent1"/>
          <w:lang w:val="bg-BG"/>
        </w:rPr>
      </w:pPr>
      <w:bookmarkStart w:id="58" w:name="_Toc4428434"/>
      <w:bookmarkEnd w:id="56"/>
      <w:bookmarkEnd w:id="57"/>
    </w:p>
    <w:p w14:paraId="3C98E3CD" w14:textId="77777777" w:rsidR="00CF65DB" w:rsidRPr="00B14C47" w:rsidRDefault="00CF65DB" w:rsidP="00BE533E">
      <w:pPr>
        <w:pStyle w:val="Heading3"/>
        <w:spacing w:before="0"/>
        <w:rPr>
          <w:rFonts w:ascii="Arial" w:hAnsi="Arial" w:cs="Arial"/>
          <w:lang w:val="bg-BG"/>
        </w:rPr>
      </w:pPr>
      <w:bookmarkStart w:id="59" w:name="_Toc164268339"/>
      <w:r w:rsidRPr="00B14C47">
        <w:rPr>
          <w:rFonts w:ascii="Arial" w:hAnsi="Arial" w:cs="Arial"/>
          <w:color w:val="4472C4" w:themeColor="accent1"/>
          <w:lang w:val="bg-BG"/>
        </w:rPr>
        <w:t>Последваща оценка на финансови активи</w:t>
      </w:r>
      <w:bookmarkEnd w:id="58"/>
      <w:bookmarkEnd w:id="59"/>
      <w:r w:rsidRPr="00B14C47">
        <w:rPr>
          <w:rFonts w:ascii="Arial" w:hAnsi="Arial" w:cs="Arial"/>
          <w:color w:val="4472C4" w:themeColor="accent1"/>
          <w:lang w:val="bg-BG"/>
        </w:rPr>
        <w:t xml:space="preserve"> </w:t>
      </w:r>
    </w:p>
    <w:p w14:paraId="506801F8" w14:textId="77777777" w:rsidR="00CF65DB" w:rsidRPr="00B14C47" w:rsidRDefault="00CF65DB" w:rsidP="00BE533E">
      <w:pPr>
        <w:rPr>
          <w:rFonts w:ascii="Arial" w:hAnsi="Arial" w:cs="Arial"/>
          <w:sz w:val="20"/>
        </w:rPr>
      </w:pPr>
      <w:r w:rsidRPr="00B14C47">
        <w:rPr>
          <w:rFonts w:ascii="Arial" w:hAnsi="Arial" w:cs="Arial"/>
          <w:sz w:val="20"/>
        </w:rPr>
        <w:t>Последващата оценка на финансовите активи зависи от тяхната класификация при първоначалното им признаване като активи. Дружеството класифицира финансовите активи в една от следните категории:</w:t>
      </w:r>
    </w:p>
    <w:p w14:paraId="41206069" w14:textId="77777777" w:rsidR="00CF65DB" w:rsidRPr="00B14C47" w:rsidRDefault="00CF65DB" w:rsidP="00BE533E">
      <w:pPr>
        <w:rPr>
          <w:rFonts w:ascii="Arial" w:hAnsi="Arial" w:cs="Arial"/>
          <w:sz w:val="20"/>
        </w:rPr>
      </w:pPr>
      <w:r w:rsidRPr="00B14C47">
        <w:rPr>
          <w:rFonts w:ascii="Arial" w:hAnsi="Arial" w:cs="Arial"/>
          <w:sz w:val="20"/>
        </w:rPr>
        <w:t xml:space="preserve">1.Оценявани по амортизирана стойност, 2. Оценявани по справедлива стойност през друг всеобхватен доход и 3. Оценявани по справедлива стойност през печалбата или загубата. </w:t>
      </w:r>
    </w:p>
    <w:p w14:paraId="121F6368" w14:textId="77777777" w:rsidR="00CF65DB" w:rsidRPr="00B14C47" w:rsidRDefault="00CF65DB" w:rsidP="00BE533E">
      <w:pPr>
        <w:rPr>
          <w:rFonts w:ascii="Arial" w:hAnsi="Arial" w:cs="Arial"/>
          <w:sz w:val="20"/>
        </w:rPr>
      </w:pPr>
      <w:r w:rsidRPr="00B14C47">
        <w:rPr>
          <w:rFonts w:ascii="Arial" w:hAnsi="Arial" w:cs="Arial"/>
          <w:sz w:val="20"/>
        </w:rPr>
        <w:t>Класификацията се определя на база бизнес модела за управление на дадения клас финансови активи и договорните характеристики на паричните потоци. Инвестиции, държани от Дружеството с цел получаване на печалба от краткосрочни продажби или обратни покупки, се класифицират като финансови активи, държани за търгуване. Инвестиции в дългови инструменти, които Дружеството държи в рамките на бизнес модел с цел събиране на договорените парични потоци, се класифицират като финансови активи, отчитани по амортизирана стойност. Инвестиции в дългови инструменти, които Дружеството държи в рамките на бизнес модел с цел събиране на договорените парични потоци и продажба се класифицират като финансови активи, отчитани по справедлива стойност в друг всеобхватен доход.</w:t>
      </w:r>
    </w:p>
    <w:p w14:paraId="5935364A" w14:textId="77777777" w:rsidR="00CF65DB" w:rsidRPr="00B14C47" w:rsidRDefault="00CF65DB" w:rsidP="00090D9E">
      <w:pPr>
        <w:spacing w:before="100" w:beforeAutospacing="1"/>
        <w:rPr>
          <w:rFonts w:ascii="Arial" w:hAnsi="Arial" w:cs="Arial"/>
          <w:b/>
          <w:color w:val="4472C4" w:themeColor="accent1"/>
          <w:sz w:val="20"/>
        </w:rPr>
      </w:pPr>
      <w:r w:rsidRPr="00B14C47">
        <w:rPr>
          <w:rFonts w:ascii="Arial" w:hAnsi="Arial" w:cs="Arial"/>
          <w:b/>
          <w:color w:val="4472C4" w:themeColor="accent1"/>
          <w:sz w:val="20"/>
        </w:rPr>
        <w:t>Класификация на финансовите активи, съгласно МСФО 9</w:t>
      </w:r>
    </w:p>
    <w:p w14:paraId="6970A6D9" w14:textId="77777777" w:rsidR="00CF65DB" w:rsidRPr="00B14C47" w:rsidRDefault="00CF65DB" w:rsidP="00090D9E">
      <w:pPr>
        <w:rPr>
          <w:rFonts w:ascii="Arial" w:hAnsi="Arial" w:cs="Arial"/>
          <w:color w:val="4472C4" w:themeColor="accent1"/>
          <w:sz w:val="20"/>
        </w:rPr>
      </w:pPr>
      <w:r w:rsidRPr="00B14C47">
        <w:rPr>
          <w:rFonts w:ascii="Arial" w:hAnsi="Arial" w:cs="Arial"/>
          <w:b/>
          <w:i/>
          <w:color w:val="4472C4" w:themeColor="accent1"/>
          <w:sz w:val="20"/>
        </w:rPr>
        <w:t>Финансови активи, отчитани по амортизирана стойност</w:t>
      </w:r>
    </w:p>
    <w:p w14:paraId="21BDB73D" w14:textId="77777777" w:rsidR="00CF65DB" w:rsidRPr="00B14C47" w:rsidRDefault="00CF65DB" w:rsidP="00090D9E">
      <w:pPr>
        <w:rPr>
          <w:rFonts w:ascii="Arial" w:hAnsi="Arial" w:cs="Arial"/>
          <w:sz w:val="20"/>
        </w:rPr>
      </w:pPr>
      <w:r w:rsidRPr="00B14C47">
        <w:rPr>
          <w:rFonts w:ascii="Arial" w:hAnsi="Arial" w:cs="Arial"/>
          <w:sz w:val="20"/>
        </w:rPr>
        <w:t>Дългови инструменти, които Дружеството държи в рамките на бизнес модел с цел събиране на договорените парични потоци и при които договорните парични потоци пораждат плащания единствено на главница и лихва се отчитат по амортизирана стойност. След първоначалното признаване активите се отчитат по амортизирана стойност.</w:t>
      </w:r>
    </w:p>
    <w:p w14:paraId="062B61ED" w14:textId="77777777" w:rsidR="00CF65DB" w:rsidRPr="00B14C47" w:rsidRDefault="00CF65DB" w:rsidP="00090D9E">
      <w:pPr>
        <w:rPr>
          <w:rFonts w:ascii="Arial" w:hAnsi="Arial" w:cs="Arial"/>
          <w:sz w:val="20"/>
        </w:rPr>
      </w:pPr>
      <w:r w:rsidRPr="00B14C47">
        <w:rPr>
          <w:rFonts w:ascii="Arial" w:hAnsi="Arial" w:cs="Arial"/>
          <w:sz w:val="20"/>
        </w:rPr>
        <w:t>Отчитането по амортизирана стойност изисква прилагането на метода на ефективния лихвен процент. Амортизираната стойност на финансов актив е стойността по която финансовият актив е отчетен първоначално, намалена с погашенията по главницата плюс или минус натрупаната амортизация с използване на метода на ефективния лихвен процент на всяка разлика между първоначалната стойност и стойността на падеж и намалена с обезценката.</w:t>
      </w:r>
    </w:p>
    <w:p w14:paraId="49586E81" w14:textId="77777777" w:rsidR="00CF65DB" w:rsidRPr="00B14C47" w:rsidRDefault="00CF65DB" w:rsidP="00090D9E">
      <w:pPr>
        <w:rPr>
          <w:rFonts w:ascii="Arial" w:hAnsi="Arial" w:cs="Arial"/>
          <w:sz w:val="20"/>
        </w:rPr>
      </w:pPr>
      <w:r w:rsidRPr="00B14C47">
        <w:rPr>
          <w:rFonts w:ascii="Arial" w:hAnsi="Arial" w:cs="Arial"/>
          <w:sz w:val="20"/>
        </w:rPr>
        <w:t>В тази категория могат да попаднат следните финансови активи на Дружеството, в зависимост от избрания бизнес модел и характеристиките на паричните потоци от тях: търговски вземания, кредити и заеми, вземания по лизингови договори, вземания по предоставени депозити, вземания по цесии, вземания, придобити чрез цесии, кредити и заеми, придобити чрез цесии, инвестиции, държани до падеж.</w:t>
      </w:r>
    </w:p>
    <w:p w14:paraId="6094278C" w14:textId="77777777" w:rsidR="00CF65DB" w:rsidRPr="00B14C47" w:rsidRDefault="00CF65DB" w:rsidP="00090D9E">
      <w:pPr>
        <w:spacing w:before="100" w:beforeAutospacing="1"/>
        <w:rPr>
          <w:rFonts w:ascii="Arial" w:hAnsi="Arial" w:cs="Arial"/>
          <w:b/>
          <w:i/>
          <w:sz w:val="20"/>
        </w:rPr>
      </w:pPr>
      <w:r w:rsidRPr="00B14C47">
        <w:rPr>
          <w:rFonts w:ascii="Arial" w:hAnsi="Arial" w:cs="Arial"/>
          <w:b/>
          <w:i/>
          <w:color w:val="4472C4" w:themeColor="accent1"/>
          <w:sz w:val="20"/>
        </w:rPr>
        <w:t>Финансови активи, отчитани по справедлива стойност през друг всеобхватен доход</w:t>
      </w:r>
    </w:p>
    <w:p w14:paraId="2EBE1A26" w14:textId="77777777" w:rsidR="00CF65DB" w:rsidRPr="00B14C47" w:rsidRDefault="00CF65DB" w:rsidP="00090D9E">
      <w:pPr>
        <w:rPr>
          <w:rFonts w:ascii="Arial" w:hAnsi="Arial" w:cs="Arial"/>
          <w:sz w:val="20"/>
        </w:rPr>
      </w:pPr>
      <w:r w:rsidRPr="00B14C47">
        <w:rPr>
          <w:rFonts w:ascii="Arial" w:hAnsi="Arial" w:cs="Arial"/>
          <w:sz w:val="20"/>
        </w:rPr>
        <w:lastRenderedPageBreak/>
        <w:t>Дългови инструменти, които Дружеството държи в рамките на бизнес модел с цел както събиране на договорените парични потоци така и продажба на актива и при които договорните парични потоци пораждат плащания единствено на главница и лихва, се отчитат по справедлива стойност през друг всеобхватен доход. След първоначалното признаване активът се оценява по справедлива стойност с отчитане на промените в справедливата стойност в преоценъчния резерв на инвестициите в ценни книжа (друг всеобхватен доход). Когато дълговият инструмент се отпише, натрупаните печалби или загуби признати в друг всеобхватен доход се прехвърлят в печалбата или загубата.</w:t>
      </w:r>
    </w:p>
    <w:p w14:paraId="4DFDFA0C" w14:textId="77777777" w:rsidR="00CF65DB" w:rsidRPr="00B14C47" w:rsidRDefault="00CF65DB" w:rsidP="00090D9E">
      <w:pPr>
        <w:rPr>
          <w:rFonts w:ascii="Arial" w:hAnsi="Arial" w:cs="Arial"/>
          <w:sz w:val="20"/>
        </w:rPr>
      </w:pPr>
      <w:r w:rsidRPr="00B14C47">
        <w:rPr>
          <w:rFonts w:ascii="Arial" w:hAnsi="Arial" w:cs="Arial"/>
          <w:sz w:val="20"/>
        </w:rPr>
        <w:t>В тази категория могат да попаднат следните финансови активи на Дружеството, в зависимост от избрания бизнес модел и характеристиките на паричните потоци от тях: търговски вземания, кредити и заеми, вземания по лизингови договори, вземания по предоставени депозити, вземания по цесии, вземания, придобити чрез цесии, кредити и заеми, придобити чрез цесии, финансови активи, дългови инструменти, които са на разположение за продажба.</w:t>
      </w:r>
    </w:p>
    <w:p w14:paraId="236E7AD3" w14:textId="77777777" w:rsidR="00090D9E" w:rsidRPr="00B14C47" w:rsidRDefault="00090D9E" w:rsidP="00090D9E">
      <w:pPr>
        <w:rPr>
          <w:rFonts w:ascii="Arial" w:hAnsi="Arial" w:cs="Arial"/>
          <w:b/>
          <w:i/>
          <w:sz w:val="20"/>
        </w:rPr>
      </w:pPr>
    </w:p>
    <w:p w14:paraId="606AA9AC" w14:textId="77777777" w:rsidR="00CF65DB" w:rsidRPr="00B14C47" w:rsidRDefault="00CF65DB" w:rsidP="00090D9E">
      <w:pPr>
        <w:rPr>
          <w:rFonts w:ascii="Arial" w:hAnsi="Arial" w:cs="Arial"/>
          <w:b/>
          <w:i/>
          <w:color w:val="4472C4" w:themeColor="accent1"/>
          <w:sz w:val="20"/>
        </w:rPr>
      </w:pPr>
      <w:r w:rsidRPr="00B14C47">
        <w:rPr>
          <w:rFonts w:ascii="Arial" w:hAnsi="Arial" w:cs="Arial"/>
          <w:b/>
          <w:i/>
          <w:color w:val="4472C4" w:themeColor="accent1"/>
          <w:sz w:val="20"/>
        </w:rPr>
        <w:t>Финансови активи, отчитани по справедлива стойност през печалбата или загубата</w:t>
      </w:r>
    </w:p>
    <w:p w14:paraId="76FC0E16" w14:textId="77777777" w:rsidR="00CF65DB" w:rsidRPr="00B14C47" w:rsidRDefault="00CF65DB" w:rsidP="00090D9E">
      <w:pPr>
        <w:rPr>
          <w:rFonts w:ascii="Arial" w:hAnsi="Arial" w:cs="Arial"/>
          <w:sz w:val="20"/>
        </w:rPr>
      </w:pPr>
      <w:r w:rsidRPr="00B14C47">
        <w:rPr>
          <w:rFonts w:ascii="Arial" w:hAnsi="Arial" w:cs="Arial"/>
          <w:sz w:val="20"/>
        </w:rPr>
        <w:t>Тази категория финансови активи, се разделя на две подкатегории: финансови активи, държани за търгуване и финансови активи, които не са класифицирани в горните две категории. Даден финансов актив се класифицира в тази категория, ако е придобит с цел продажба в кратък срок или договорните му характеристики не отговарят на условието да пораждат плащания единствено на главница и лихва. Деривативите също се категоризират като държани за търгуване, освен ако не са определени за хеджиращи инструменти. Тези финансови активи могат да бъдат дългови или капиталови инструменти.</w:t>
      </w:r>
    </w:p>
    <w:p w14:paraId="3EB563B2" w14:textId="77777777" w:rsidR="00090D9E" w:rsidRPr="00B14C47" w:rsidRDefault="00090D9E" w:rsidP="00090D9E">
      <w:pPr>
        <w:rPr>
          <w:rFonts w:ascii="Arial" w:hAnsi="Arial" w:cs="Arial"/>
          <w:b/>
          <w:i/>
          <w:sz w:val="20"/>
        </w:rPr>
      </w:pPr>
    </w:p>
    <w:p w14:paraId="4FBE6753" w14:textId="77777777" w:rsidR="00CF65DB" w:rsidRPr="00B14C47" w:rsidRDefault="00CF65DB" w:rsidP="00090D9E">
      <w:pPr>
        <w:rPr>
          <w:rFonts w:ascii="Arial" w:hAnsi="Arial" w:cs="Arial"/>
          <w:b/>
          <w:i/>
          <w:color w:val="4472C4" w:themeColor="accent1"/>
          <w:sz w:val="20"/>
        </w:rPr>
      </w:pPr>
      <w:r w:rsidRPr="00B14C47">
        <w:rPr>
          <w:rFonts w:ascii="Arial" w:hAnsi="Arial" w:cs="Arial"/>
          <w:b/>
          <w:i/>
          <w:color w:val="4472C4" w:themeColor="accent1"/>
          <w:sz w:val="20"/>
        </w:rPr>
        <w:t>Капиталови инструменти, отчитани по справедлива стойност през друг всеобхватен доход</w:t>
      </w:r>
    </w:p>
    <w:p w14:paraId="568EB5D1" w14:textId="77777777" w:rsidR="00CF65DB" w:rsidRPr="00B14C47" w:rsidRDefault="00CF65DB" w:rsidP="00090D9E">
      <w:pPr>
        <w:rPr>
          <w:rFonts w:ascii="Arial" w:hAnsi="Arial" w:cs="Arial"/>
          <w:sz w:val="20"/>
        </w:rPr>
      </w:pPr>
      <w:r w:rsidRPr="00B14C47">
        <w:rPr>
          <w:rFonts w:ascii="Arial" w:hAnsi="Arial" w:cs="Arial"/>
          <w:sz w:val="20"/>
        </w:rPr>
        <w:t>Дружеството може да направи неотменим избор да признава промените в справедливата стойност в инвестициите в капиталови инструменти в друг всеобхватен доход вместо в печалбата или загубата. Печалбите или загубите от промени в справедливата стойност ще се представят в друг всеобхватен доход и няма да могат да се прекласифицират в печалбата или загубата. Когато капиталовият инструмент се отпише, натрупаните печалби или загуби признати в другия всеобхватен доход направо се прехвърлят в други резерви и неразпределена печалба.</w:t>
      </w:r>
    </w:p>
    <w:p w14:paraId="3BE1E486" w14:textId="77777777" w:rsidR="00CF65DB" w:rsidRPr="00B14C47" w:rsidRDefault="00CF65DB" w:rsidP="003833F6"/>
    <w:p w14:paraId="6408BB19" w14:textId="77777777" w:rsidR="00B66DF8" w:rsidRPr="00B14C47" w:rsidRDefault="00B66DF8" w:rsidP="00B66DF8">
      <w:pPr>
        <w:pStyle w:val="Heading3"/>
        <w:spacing w:before="0"/>
        <w:rPr>
          <w:rFonts w:ascii="Arial" w:hAnsi="Arial" w:cs="Arial"/>
          <w:lang w:val="bg-BG"/>
        </w:rPr>
      </w:pPr>
      <w:bookmarkStart w:id="60" w:name="_Toc164268340"/>
      <w:r w:rsidRPr="00B14C47">
        <w:rPr>
          <w:rFonts w:ascii="Arial" w:hAnsi="Arial" w:cs="Arial"/>
          <w:lang w:val="bg-BG"/>
        </w:rPr>
        <w:t>Обезценка на финансови активи</w:t>
      </w:r>
      <w:bookmarkEnd w:id="60"/>
      <w:r w:rsidRPr="00B14C47">
        <w:rPr>
          <w:rFonts w:ascii="Arial" w:hAnsi="Arial" w:cs="Arial"/>
          <w:lang w:val="bg-BG"/>
        </w:rPr>
        <w:t xml:space="preserve"> </w:t>
      </w:r>
    </w:p>
    <w:p w14:paraId="3DFEA6CB" w14:textId="77777777" w:rsidR="00737F19" w:rsidRPr="00B14C47" w:rsidRDefault="00737F19" w:rsidP="00737F19">
      <w:pPr>
        <w:rPr>
          <w:rFonts w:ascii="Arial" w:hAnsi="Arial" w:cs="Arial"/>
          <w:sz w:val="20"/>
        </w:rPr>
      </w:pPr>
      <w:r w:rsidRPr="00B14C47">
        <w:rPr>
          <w:rFonts w:ascii="Arial" w:hAnsi="Arial" w:cs="Arial"/>
          <w:sz w:val="20"/>
        </w:rPr>
        <w:t>Моделът за обезценка „очаквани кредитни загуби“ се прилага за финансовите активи, оценявани по амортизирана стойност или по справедлива стойност през друг всеобхватен доход, с изключение на инвестиции в капиталови инструменти и договорни активи. Съгласно МСФО 9, загубите се измерват по една от двете бази: 1. очаквани кредитни загуби за следващите 12 месеца след датата на финансовия отчет или 2. очакваните кредитни загуби за целия срок на финансовите активи. Първата база се прилага когато кредитния риск не е нарастнал значително от датата на първоначално признаване до датата на финансовия отчет (и кредитния риск е нисък към датата на финансовия отчет), в обратния случая се прилага втората база. Дружеството прилага втората база за търговските вземания и договорните активи (независимо дали са със или без значителен финансов компонент). Нарастването на кредитния риск се следи и определя на база информация за рискови фактори като наличие на просрочие, значително влошаване на финансовото състояние на длъжника и други.</w:t>
      </w:r>
    </w:p>
    <w:p w14:paraId="6D51851F" w14:textId="77777777" w:rsidR="00737F19" w:rsidRPr="00B14C47" w:rsidRDefault="00737F19" w:rsidP="00737F19">
      <w:pPr>
        <w:rPr>
          <w:rFonts w:ascii="Arial" w:hAnsi="Arial" w:cs="Arial"/>
          <w:sz w:val="20"/>
        </w:rPr>
      </w:pPr>
      <w:r w:rsidRPr="00B14C47">
        <w:rPr>
          <w:rFonts w:ascii="Arial" w:hAnsi="Arial" w:cs="Arial"/>
          <w:sz w:val="20"/>
        </w:rPr>
        <w:t>Само за търговски вземания балансовата стойност се намалява, чрез използване на транзитна сметка и последващото възстановяване на отписаните преди това суми се кредитира срещу тази транзитна сметка. Промените в балансовата стойност на транзитната сметка се признават в печалба или загуба.</w:t>
      </w:r>
    </w:p>
    <w:p w14:paraId="6B6CEC1F" w14:textId="77777777" w:rsidR="00737F19" w:rsidRPr="00B14C47" w:rsidRDefault="00737F19" w:rsidP="00737F19">
      <w:pPr>
        <w:rPr>
          <w:rFonts w:ascii="Arial" w:hAnsi="Arial" w:cs="Arial"/>
          <w:sz w:val="20"/>
        </w:rPr>
      </w:pPr>
      <w:r w:rsidRPr="00B14C47">
        <w:rPr>
          <w:rFonts w:ascii="Arial" w:hAnsi="Arial" w:cs="Arial"/>
          <w:sz w:val="20"/>
        </w:rPr>
        <w:t xml:space="preserve">За всички други финансови активи балансовата сума се намалява с размера на загубата от обезценка.  </w:t>
      </w:r>
    </w:p>
    <w:p w14:paraId="4CAB56D3" w14:textId="77777777" w:rsidR="00737F19" w:rsidRPr="00B14C47" w:rsidRDefault="00737F19" w:rsidP="00737F19">
      <w:pPr>
        <w:rPr>
          <w:rFonts w:ascii="Arial" w:hAnsi="Arial" w:cs="Arial"/>
          <w:sz w:val="20"/>
        </w:rPr>
      </w:pPr>
      <w:r w:rsidRPr="00B14C47">
        <w:rPr>
          <w:rFonts w:ascii="Arial" w:hAnsi="Arial" w:cs="Arial"/>
          <w:sz w:val="20"/>
        </w:rPr>
        <w:t xml:space="preserve">За финансови активи, отчитани по амортизирана стойност, ако в следващ период сумата на загубата от обезценката намалее и спадът може по обективен начин да се свърже със събитие, което възниква, след като обезценката е призната, преди това признатите загуби от обезценка се възстановяват (или директно, или чрез коригиране на корективната сметка за търговски вземания) в печалбата или загубата. Въпреки това възстановяването не може да води до балансова стойност на финансовия актив, която да надвишава онази амортизирана стойност, която би била на датата на възстановяването, ако не е била призната загуба от обезценка. </w:t>
      </w:r>
    </w:p>
    <w:p w14:paraId="642EB657" w14:textId="77777777" w:rsidR="00B66DF8" w:rsidRPr="00B14C47" w:rsidRDefault="00B66DF8" w:rsidP="00B66DF8">
      <w:pPr>
        <w:rPr>
          <w:rFonts w:ascii="Arial" w:hAnsi="Arial" w:cs="Arial"/>
          <w:sz w:val="20"/>
        </w:rPr>
      </w:pPr>
    </w:p>
    <w:p w14:paraId="6F1611B4" w14:textId="77777777" w:rsidR="00B66DF8" w:rsidRPr="00B14C47" w:rsidRDefault="00B66DF8" w:rsidP="00090D9E">
      <w:pPr>
        <w:pStyle w:val="Heading3"/>
        <w:spacing w:before="0"/>
        <w:rPr>
          <w:rFonts w:ascii="Arial" w:hAnsi="Arial" w:cs="Arial"/>
          <w:lang w:val="bg-BG"/>
        </w:rPr>
      </w:pPr>
      <w:bookmarkStart w:id="61" w:name="_Toc164268341"/>
      <w:r w:rsidRPr="00B14C47">
        <w:rPr>
          <w:rFonts w:ascii="Arial" w:hAnsi="Arial" w:cs="Arial"/>
          <w:lang w:val="bg-BG"/>
        </w:rPr>
        <w:lastRenderedPageBreak/>
        <w:t>Отписване на финансови активи</w:t>
      </w:r>
      <w:bookmarkEnd w:id="61"/>
      <w:r w:rsidRPr="00B14C47">
        <w:rPr>
          <w:rFonts w:ascii="Arial" w:hAnsi="Arial" w:cs="Arial"/>
          <w:lang w:val="bg-BG"/>
        </w:rPr>
        <w:t xml:space="preserve"> </w:t>
      </w:r>
    </w:p>
    <w:p w14:paraId="3CB20806" w14:textId="77777777" w:rsidR="00E76218" w:rsidRPr="00B14C47" w:rsidRDefault="00E76218" w:rsidP="00090D9E">
      <w:pPr>
        <w:pStyle w:val="BodyText2"/>
        <w:tabs>
          <w:tab w:val="left" w:pos="851"/>
        </w:tabs>
        <w:spacing w:after="0" w:line="240" w:lineRule="auto"/>
        <w:rPr>
          <w:rFonts w:ascii="Arial" w:hAnsi="Arial" w:cs="Arial"/>
          <w:lang w:val="en-GB"/>
        </w:rPr>
      </w:pPr>
      <w:r w:rsidRPr="00B14C47">
        <w:rPr>
          <w:rFonts w:ascii="Arial" w:hAnsi="Arial" w:cs="Arial"/>
        </w:rPr>
        <w:t xml:space="preserve">Финансовите активи се отписват от отчета за финансовото състояние на дружеството, когато правата за получаване на парични средства (потоци) от тези активи са изтекли, или са прехвърлени и дружеството е прехвърлило съществената част от рисковете и ползите от собствеността върху актива на друго дружество (лице). Ако дружеството продължава да държи съществената част от рисковете и ползите, асоциирани със собствеността на даден трансфериран финансов актив, то продължава да признава актива </w:t>
      </w:r>
      <w:proofErr w:type="gramStart"/>
      <w:r w:rsidRPr="00B14C47">
        <w:rPr>
          <w:rFonts w:ascii="Arial" w:hAnsi="Arial" w:cs="Arial"/>
        </w:rPr>
        <w:t>в  отчета</w:t>
      </w:r>
      <w:proofErr w:type="gramEnd"/>
      <w:r w:rsidRPr="00B14C47">
        <w:rPr>
          <w:rFonts w:ascii="Arial" w:hAnsi="Arial" w:cs="Arial"/>
        </w:rPr>
        <w:t xml:space="preserve"> за финансовото състояние</w:t>
      </w:r>
      <w:r w:rsidRPr="00B14C47">
        <w:rPr>
          <w:rStyle w:val="CommentReference"/>
          <w:rFonts w:ascii="Arial" w:hAnsi="Arial" w:cs="Arial"/>
          <w:sz w:val="20"/>
          <w:szCs w:val="20"/>
        </w:rPr>
        <w:t xml:space="preserve">, </w:t>
      </w:r>
      <w:r w:rsidRPr="00B14C47">
        <w:rPr>
          <w:rFonts w:ascii="Arial" w:hAnsi="Arial" w:cs="Arial"/>
        </w:rPr>
        <w:t>но признава също и обезпечено задължение.</w:t>
      </w:r>
    </w:p>
    <w:p w14:paraId="14EA9BBC" w14:textId="77777777" w:rsidR="00A66F20" w:rsidRPr="00B14C47" w:rsidRDefault="00A66F20" w:rsidP="00A66F20">
      <w:pPr>
        <w:keepNext/>
        <w:keepLines/>
        <w:spacing w:before="200"/>
        <w:outlineLvl w:val="2"/>
        <w:rPr>
          <w:rFonts w:ascii="Arial" w:hAnsi="Arial" w:cs="Arial"/>
          <w:b/>
          <w:bCs/>
          <w:color w:val="4F81BD"/>
          <w:sz w:val="20"/>
          <w:szCs w:val="22"/>
          <w:lang w:val="en-US"/>
        </w:rPr>
      </w:pPr>
      <w:bookmarkStart w:id="62" w:name="_Toc473124947"/>
      <w:bookmarkStart w:id="63" w:name="_Toc164268342"/>
      <w:r w:rsidRPr="00B14C47">
        <w:rPr>
          <w:rFonts w:ascii="Arial" w:hAnsi="Arial" w:cs="Arial"/>
          <w:b/>
          <w:bCs/>
          <w:color w:val="4F81BD"/>
          <w:sz w:val="20"/>
          <w:szCs w:val="22"/>
          <w:lang w:val="en-US"/>
        </w:rPr>
        <w:t>Последваща оценка на финансови пасиви</w:t>
      </w:r>
      <w:bookmarkEnd w:id="62"/>
      <w:bookmarkEnd w:id="63"/>
      <w:r w:rsidRPr="00B14C47">
        <w:rPr>
          <w:rFonts w:ascii="Arial" w:hAnsi="Arial" w:cs="Arial"/>
          <w:b/>
          <w:bCs/>
          <w:color w:val="4F81BD"/>
          <w:sz w:val="20"/>
          <w:szCs w:val="22"/>
          <w:lang w:val="en-US"/>
        </w:rPr>
        <w:t xml:space="preserve"> </w:t>
      </w:r>
    </w:p>
    <w:p w14:paraId="07652EB4" w14:textId="77777777" w:rsidR="007F267D" w:rsidRPr="00B14C47" w:rsidRDefault="007F267D" w:rsidP="007F267D">
      <w:pPr>
        <w:rPr>
          <w:rFonts w:ascii="Arial" w:hAnsi="Arial" w:cs="Arial"/>
          <w:sz w:val="20"/>
        </w:rPr>
      </w:pPr>
      <w:r w:rsidRPr="00B14C47">
        <w:rPr>
          <w:rFonts w:ascii="Arial" w:hAnsi="Arial" w:cs="Arial"/>
          <w:sz w:val="20"/>
        </w:rPr>
        <w:t>Последващата оценка на финансовите пасиви, зависи от това как те са били класифицирани при първоначално признаване.  Дружеството класифицира финансовите си пасиви в една от следните две категории:</w:t>
      </w:r>
    </w:p>
    <w:p w14:paraId="4FBD53BB" w14:textId="77777777" w:rsidR="007F267D" w:rsidRPr="00B14C47" w:rsidRDefault="007F267D" w:rsidP="007F267D">
      <w:pPr>
        <w:rPr>
          <w:rFonts w:ascii="Arial" w:hAnsi="Arial" w:cs="Arial"/>
          <w:sz w:val="20"/>
        </w:rPr>
      </w:pPr>
    </w:p>
    <w:p w14:paraId="2D420A72" w14:textId="77777777" w:rsidR="007F267D" w:rsidRPr="00B14C47" w:rsidRDefault="007F267D" w:rsidP="007F267D">
      <w:pPr>
        <w:rPr>
          <w:rFonts w:ascii="Arial" w:hAnsi="Arial" w:cs="Arial"/>
          <w:sz w:val="20"/>
        </w:rPr>
      </w:pPr>
      <w:r w:rsidRPr="00B14C47">
        <w:rPr>
          <w:rFonts w:ascii="Arial" w:hAnsi="Arial" w:cs="Arial"/>
          <w:b/>
          <w:i/>
          <w:color w:val="4472C4" w:themeColor="accent1"/>
          <w:sz w:val="20"/>
        </w:rPr>
        <w:t>Пасиви, отчитани по справедлива стойност в печалба или загуба.</w:t>
      </w:r>
      <w:r w:rsidRPr="00B14C47">
        <w:rPr>
          <w:rFonts w:ascii="Arial" w:hAnsi="Arial" w:cs="Arial"/>
          <w:color w:val="4472C4" w:themeColor="accent1"/>
          <w:sz w:val="20"/>
        </w:rPr>
        <w:t xml:space="preserve"> </w:t>
      </w:r>
      <w:r w:rsidRPr="00B14C47">
        <w:rPr>
          <w:rFonts w:ascii="Arial" w:hAnsi="Arial" w:cs="Arial"/>
          <w:sz w:val="20"/>
        </w:rPr>
        <w:t xml:space="preserve">Пасивите се класифицират в тази категория, когато те принципно са държани с цел продажба в близко бъдеще (търговски задължения) или са деривативи (с изключение на дериватив, който е предназначен за и е ефективен хеджиращ инструмент) или отговаря на условията за попадане в тази категория, определени при първоначалното признаване. Всички промени в справедливата стойност, отнасящи се до пасиви отчитани по справедлива стойност в печалбата или загубата се отчитат в индивидуалния отчет за печалбата или загубата към датата, на която възникват. </w:t>
      </w:r>
    </w:p>
    <w:p w14:paraId="59978543" w14:textId="613BBAA3" w:rsidR="007F267D" w:rsidRPr="00B14C47" w:rsidRDefault="007F267D" w:rsidP="007F267D">
      <w:pPr>
        <w:rPr>
          <w:rFonts w:ascii="Arial" w:hAnsi="Arial" w:cs="Arial"/>
          <w:sz w:val="20"/>
        </w:rPr>
      </w:pPr>
      <w:r w:rsidRPr="00B14C47">
        <w:rPr>
          <w:rFonts w:ascii="Arial" w:hAnsi="Arial" w:cs="Arial"/>
          <w:sz w:val="20"/>
        </w:rPr>
        <w:t xml:space="preserve">За </w:t>
      </w:r>
      <w:r w:rsidR="0070202B" w:rsidRPr="00B14C47">
        <w:rPr>
          <w:rFonts w:ascii="Arial" w:hAnsi="Arial" w:cs="Arial"/>
          <w:sz w:val="20"/>
        </w:rPr>
        <w:t xml:space="preserve">годината </w:t>
      </w:r>
      <w:r w:rsidRPr="00B14C47">
        <w:rPr>
          <w:rFonts w:ascii="Arial" w:hAnsi="Arial" w:cs="Arial"/>
          <w:sz w:val="20"/>
        </w:rPr>
        <w:t>завършващ</w:t>
      </w:r>
      <w:r w:rsidR="0070202B" w:rsidRPr="00B14C47">
        <w:rPr>
          <w:rFonts w:ascii="Arial" w:hAnsi="Arial" w:cs="Arial"/>
          <w:sz w:val="20"/>
        </w:rPr>
        <w:t>а</w:t>
      </w:r>
      <w:r w:rsidRPr="00B14C47">
        <w:rPr>
          <w:rFonts w:ascii="Arial" w:hAnsi="Arial" w:cs="Arial"/>
          <w:sz w:val="20"/>
        </w:rPr>
        <w:t xml:space="preserve"> на </w:t>
      </w:r>
      <w:r w:rsidR="0067669F">
        <w:rPr>
          <w:rFonts w:ascii="Arial" w:hAnsi="Arial" w:cs="Arial"/>
          <w:sz w:val="20"/>
        </w:rPr>
        <w:t>30 Юни</w:t>
      </w:r>
      <w:r w:rsidR="0070202B" w:rsidRPr="00B14C47">
        <w:rPr>
          <w:rFonts w:ascii="Arial" w:hAnsi="Arial" w:cs="Arial"/>
          <w:sz w:val="20"/>
        </w:rPr>
        <w:t xml:space="preserve"> </w:t>
      </w:r>
      <w:r w:rsidR="00D108F8" w:rsidRPr="00B14C47">
        <w:rPr>
          <w:rFonts w:ascii="Arial" w:hAnsi="Arial" w:cs="Arial"/>
          <w:sz w:val="20"/>
        </w:rPr>
        <w:t>202</w:t>
      </w:r>
      <w:r w:rsidR="00A80B93">
        <w:rPr>
          <w:rFonts w:ascii="Arial" w:hAnsi="Arial" w:cs="Arial"/>
          <w:sz w:val="20"/>
        </w:rPr>
        <w:t>4</w:t>
      </w:r>
      <w:r w:rsidR="00D108F8" w:rsidRPr="00B14C47">
        <w:rPr>
          <w:rFonts w:ascii="Arial" w:hAnsi="Arial" w:cs="Arial"/>
          <w:sz w:val="20"/>
        </w:rPr>
        <w:t xml:space="preserve"> </w:t>
      </w:r>
      <w:r w:rsidRPr="00B14C47">
        <w:rPr>
          <w:rFonts w:ascii="Arial" w:hAnsi="Arial" w:cs="Arial"/>
          <w:sz w:val="20"/>
        </w:rPr>
        <w:t>и</w:t>
      </w:r>
      <w:r w:rsidR="00E3029D" w:rsidRPr="00B14C47">
        <w:rPr>
          <w:rFonts w:ascii="Arial" w:hAnsi="Arial" w:cs="Arial"/>
          <w:sz w:val="20"/>
        </w:rPr>
        <w:t xml:space="preserve"> 31</w:t>
      </w:r>
      <w:r w:rsidR="004C4FAC" w:rsidRPr="00B14C47">
        <w:rPr>
          <w:rFonts w:ascii="Arial" w:hAnsi="Arial" w:cs="Arial"/>
          <w:sz w:val="20"/>
          <w:szCs w:val="22"/>
        </w:rPr>
        <w:t xml:space="preserve"> </w:t>
      </w:r>
      <w:r w:rsidR="00E3029D" w:rsidRPr="00B14C47">
        <w:rPr>
          <w:rFonts w:ascii="Arial" w:hAnsi="Arial" w:cs="Arial"/>
          <w:sz w:val="20"/>
          <w:szCs w:val="22"/>
        </w:rPr>
        <w:t>декември</w:t>
      </w:r>
      <w:r w:rsidR="00FB19ED" w:rsidRPr="00B14C47">
        <w:rPr>
          <w:rFonts w:ascii="Arial" w:hAnsi="Arial" w:cs="Arial"/>
          <w:sz w:val="20"/>
          <w:szCs w:val="22"/>
        </w:rPr>
        <w:t xml:space="preserve"> </w:t>
      </w:r>
      <w:r w:rsidR="00D108F8" w:rsidRPr="00B14C47">
        <w:rPr>
          <w:rFonts w:ascii="Arial" w:hAnsi="Arial" w:cs="Arial"/>
          <w:sz w:val="20"/>
          <w:szCs w:val="22"/>
        </w:rPr>
        <w:t>202</w:t>
      </w:r>
      <w:r w:rsidR="00A80B93">
        <w:rPr>
          <w:rFonts w:ascii="Arial" w:hAnsi="Arial" w:cs="Arial"/>
          <w:sz w:val="20"/>
          <w:szCs w:val="22"/>
        </w:rPr>
        <w:t>3</w:t>
      </w:r>
      <w:r w:rsidR="00D108F8" w:rsidRPr="00B14C47">
        <w:rPr>
          <w:rFonts w:ascii="Arial" w:hAnsi="Arial" w:cs="Arial"/>
          <w:sz w:val="20"/>
          <w:szCs w:val="22"/>
        </w:rPr>
        <w:t>г</w:t>
      </w:r>
      <w:r w:rsidR="0070202B" w:rsidRPr="00B14C47">
        <w:rPr>
          <w:rFonts w:ascii="Arial" w:hAnsi="Arial" w:cs="Arial"/>
          <w:sz w:val="20"/>
        </w:rPr>
        <w:t>,</w:t>
      </w:r>
      <w:r w:rsidRPr="00B14C47">
        <w:rPr>
          <w:rFonts w:ascii="Arial" w:hAnsi="Arial" w:cs="Arial"/>
          <w:sz w:val="20"/>
        </w:rPr>
        <w:t xml:space="preserve"> Дружеството не е класифицирало, каквито и да било финансови пасиви като държани за продажба или отчитани по справедлива стойност в печалба или загуба. </w:t>
      </w:r>
    </w:p>
    <w:p w14:paraId="24E050FB" w14:textId="77777777" w:rsidR="007F267D" w:rsidRPr="00B14C47" w:rsidRDefault="007F267D" w:rsidP="007F267D">
      <w:pPr>
        <w:rPr>
          <w:rFonts w:ascii="Arial" w:hAnsi="Arial" w:cs="Arial"/>
          <w:sz w:val="20"/>
        </w:rPr>
      </w:pPr>
    </w:p>
    <w:p w14:paraId="4C8F6767" w14:textId="77777777" w:rsidR="007F267D" w:rsidRPr="00B14C47" w:rsidRDefault="007F267D" w:rsidP="007F267D">
      <w:pPr>
        <w:rPr>
          <w:rFonts w:ascii="Arial" w:hAnsi="Arial" w:cs="Arial"/>
          <w:sz w:val="20"/>
        </w:rPr>
      </w:pPr>
      <w:r w:rsidRPr="00B14C47">
        <w:rPr>
          <w:rFonts w:ascii="Arial" w:hAnsi="Arial" w:cs="Arial"/>
          <w:b/>
          <w:i/>
          <w:color w:val="4472C4" w:themeColor="accent1"/>
          <w:sz w:val="20"/>
        </w:rPr>
        <w:t>Други финансови пасиви.</w:t>
      </w:r>
      <w:r w:rsidRPr="00B14C47">
        <w:rPr>
          <w:rFonts w:ascii="Arial" w:hAnsi="Arial" w:cs="Arial"/>
          <w:b/>
          <w:i/>
          <w:sz w:val="20"/>
        </w:rPr>
        <w:t xml:space="preserve"> </w:t>
      </w:r>
      <w:r w:rsidRPr="00B14C47">
        <w:rPr>
          <w:rFonts w:ascii="Arial" w:hAnsi="Arial" w:cs="Arial"/>
          <w:sz w:val="20"/>
        </w:rPr>
        <w:t>Всички задължения, които не са класифицирани в предишната категорията попадат в тази остатъчна категория. Тези задължения се отчитат по амортизирана стойност посредством метода на ефективния лихвен процент.</w:t>
      </w:r>
    </w:p>
    <w:p w14:paraId="347EB96E" w14:textId="77777777" w:rsidR="007F267D" w:rsidRPr="00B14C47" w:rsidRDefault="007F267D" w:rsidP="007F267D">
      <w:pPr>
        <w:rPr>
          <w:rFonts w:ascii="Arial" w:hAnsi="Arial" w:cs="Arial"/>
          <w:sz w:val="20"/>
        </w:rPr>
      </w:pPr>
      <w:r w:rsidRPr="00B14C47">
        <w:rPr>
          <w:rFonts w:ascii="Arial" w:hAnsi="Arial" w:cs="Arial"/>
          <w:sz w:val="20"/>
        </w:rPr>
        <w:t>Обикновено търговски и други задължения и заеми се класифицират в тази категория.</w:t>
      </w:r>
    </w:p>
    <w:p w14:paraId="7C9C70B9" w14:textId="77777777" w:rsidR="007F267D" w:rsidRPr="00B14C47" w:rsidRDefault="007F267D" w:rsidP="007F267D">
      <w:pPr>
        <w:rPr>
          <w:rFonts w:ascii="Arial" w:hAnsi="Arial" w:cs="Arial"/>
          <w:sz w:val="20"/>
        </w:rPr>
      </w:pPr>
      <w:r w:rsidRPr="00B14C47">
        <w:rPr>
          <w:rFonts w:ascii="Arial" w:hAnsi="Arial" w:cs="Arial"/>
          <w:sz w:val="20"/>
        </w:rPr>
        <w:t>Елементите, класифицирани като търговски и други задължения обикновено не се оценяват отново, тъй като задълженията са известени с висока степен на сигурност и уреждането е краткосрочно.</w:t>
      </w:r>
    </w:p>
    <w:p w14:paraId="189D5927" w14:textId="77777777" w:rsidR="00B47837" w:rsidRPr="00B14C47" w:rsidRDefault="00B47837" w:rsidP="00B47837">
      <w:pPr>
        <w:keepNext/>
        <w:keepLines/>
        <w:spacing w:before="200"/>
        <w:outlineLvl w:val="2"/>
        <w:rPr>
          <w:rFonts w:ascii="Arial" w:hAnsi="Arial" w:cs="Arial"/>
          <w:b/>
          <w:bCs/>
          <w:color w:val="4F81BD"/>
          <w:sz w:val="20"/>
          <w:szCs w:val="22"/>
          <w:lang w:val="en-US"/>
        </w:rPr>
      </w:pPr>
      <w:bookmarkStart w:id="64" w:name="_Toc164268343"/>
      <w:r w:rsidRPr="00B14C47">
        <w:rPr>
          <w:rFonts w:ascii="Arial" w:hAnsi="Arial" w:cs="Arial"/>
          <w:b/>
          <w:bCs/>
          <w:color w:val="4F81BD"/>
          <w:sz w:val="20"/>
          <w:szCs w:val="22"/>
          <w:lang w:val="en-US"/>
        </w:rPr>
        <w:t>Отписване на финансови пасиви</w:t>
      </w:r>
      <w:bookmarkEnd w:id="64"/>
      <w:r w:rsidRPr="00B14C47">
        <w:rPr>
          <w:rFonts w:ascii="Arial" w:hAnsi="Arial" w:cs="Arial"/>
          <w:b/>
          <w:bCs/>
          <w:color w:val="4F81BD"/>
          <w:sz w:val="20"/>
          <w:szCs w:val="22"/>
          <w:lang w:val="en-US"/>
        </w:rPr>
        <w:t xml:space="preserve"> </w:t>
      </w:r>
    </w:p>
    <w:p w14:paraId="6771EF07" w14:textId="77777777" w:rsidR="00C13396" w:rsidRPr="00B14C47" w:rsidRDefault="007F267D" w:rsidP="00C13396">
      <w:pPr>
        <w:rPr>
          <w:rFonts w:ascii="Arial" w:hAnsi="Arial" w:cs="Arial"/>
          <w:sz w:val="20"/>
        </w:rPr>
      </w:pPr>
      <w:r w:rsidRPr="00B14C47">
        <w:rPr>
          <w:rFonts w:ascii="Arial" w:hAnsi="Arial" w:cs="Arial"/>
          <w:sz w:val="20"/>
        </w:rPr>
        <w:t>Финансов пасив се премахва от отчет за финансовото състояние на  Дружеството, само когато задължението бъде погасено, прекратено  или изтече. Разликата между балансовата стойност на отписания финансов пасив и изплатената престация се признава в печалбата или загубата.</w:t>
      </w:r>
      <w:bookmarkStart w:id="65" w:name="_Toc473124950"/>
    </w:p>
    <w:p w14:paraId="18EBD2C9" w14:textId="77777777" w:rsidR="00C13396" w:rsidRPr="00B14C47" w:rsidRDefault="00C13396" w:rsidP="00C13396">
      <w:pPr>
        <w:rPr>
          <w:rFonts w:ascii="Arial" w:hAnsi="Arial" w:cs="Arial"/>
          <w:sz w:val="20"/>
        </w:rPr>
      </w:pPr>
    </w:p>
    <w:p w14:paraId="2A022A6F" w14:textId="77777777" w:rsidR="008623E2" w:rsidRPr="00B14C47" w:rsidRDefault="008623E2" w:rsidP="00C13E07">
      <w:pPr>
        <w:keepNext/>
        <w:keepLines/>
        <w:outlineLvl w:val="2"/>
        <w:rPr>
          <w:rFonts w:ascii="Arial" w:hAnsi="Arial" w:cs="Arial"/>
          <w:b/>
          <w:bCs/>
          <w:color w:val="4F81BD"/>
          <w:sz w:val="20"/>
          <w:szCs w:val="22"/>
          <w:lang w:val="en-US"/>
        </w:rPr>
      </w:pPr>
      <w:bookmarkStart w:id="66" w:name="_Toc164268344"/>
      <w:r w:rsidRPr="00B14C47">
        <w:rPr>
          <w:rFonts w:ascii="Arial" w:hAnsi="Arial" w:cs="Arial"/>
          <w:b/>
          <w:bCs/>
          <w:color w:val="4F81BD"/>
          <w:sz w:val="20"/>
          <w:szCs w:val="22"/>
          <w:lang w:val="en-US"/>
        </w:rPr>
        <w:t>Лихвени кредити и заеми</w:t>
      </w:r>
      <w:bookmarkEnd w:id="65"/>
      <w:bookmarkEnd w:id="66"/>
      <w:r w:rsidRPr="00B14C47">
        <w:rPr>
          <w:rFonts w:ascii="Arial" w:hAnsi="Arial" w:cs="Arial"/>
          <w:b/>
          <w:bCs/>
          <w:color w:val="4F81BD"/>
          <w:sz w:val="20"/>
          <w:szCs w:val="22"/>
          <w:lang w:val="en-US"/>
        </w:rPr>
        <w:t xml:space="preserve"> </w:t>
      </w:r>
    </w:p>
    <w:p w14:paraId="3022ADC1" w14:textId="77777777" w:rsidR="008623E2" w:rsidRPr="00B14C47" w:rsidRDefault="008623E2" w:rsidP="00C13E07">
      <w:pPr>
        <w:pStyle w:val="Heading3"/>
        <w:spacing w:before="0"/>
        <w:rPr>
          <w:rFonts w:ascii="Arial" w:hAnsi="Arial" w:cs="Arial"/>
          <w:b w:val="0"/>
          <w:i/>
          <w:color w:val="auto"/>
          <w:lang w:val="bg-BG"/>
        </w:rPr>
      </w:pPr>
      <w:bookmarkStart w:id="67" w:name="_Toc4683380"/>
      <w:bookmarkStart w:id="68" w:name="_Toc4685274"/>
      <w:bookmarkStart w:id="69" w:name="_Toc4692169"/>
      <w:bookmarkStart w:id="70" w:name="_Toc62484327"/>
      <w:bookmarkStart w:id="71" w:name="_Toc67568142"/>
      <w:bookmarkStart w:id="72" w:name="_Toc96871868"/>
      <w:bookmarkStart w:id="73" w:name="_Toc129350861"/>
      <w:bookmarkStart w:id="74" w:name="_Toc160806705"/>
      <w:bookmarkStart w:id="75" w:name="_Toc164268345"/>
      <w:r w:rsidRPr="00B14C47">
        <w:rPr>
          <w:rFonts w:ascii="Arial" w:hAnsi="Arial" w:cs="Arial"/>
          <w:b w:val="0"/>
          <w:color w:val="auto"/>
          <w:lang w:val="bg-BG"/>
        </w:rPr>
        <w:t xml:space="preserve">Това пояснение представя информация за договорните взаимоотношения на Дружеството относно ангажименти по лихвени кредити и заеми. Информация за въздействието на лихвените проценти е представена в раздел IV, точка 2 </w:t>
      </w:r>
      <w:r w:rsidRPr="00B14C47">
        <w:rPr>
          <w:rFonts w:ascii="Arial" w:hAnsi="Arial" w:cs="Arial"/>
          <w:b w:val="0"/>
          <w:i/>
          <w:color w:val="auto"/>
          <w:lang w:val="bg-BG"/>
        </w:rPr>
        <w:t>Цели и политики на управление на финансовия риск.</w:t>
      </w:r>
      <w:bookmarkEnd w:id="67"/>
      <w:bookmarkEnd w:id="68"/>
      <w:bookmarkEnd w:id="69"/>
      <w:bookmarkEnd w:id="70"/>
      <w:bookmarkEnd w:id="71"/>
      <w:bookmarkEnd w:id="72"/>
      <w:bookmarkEnd w:id="73"/>
      <w:bookmarkEnd w:id="74"/>
      <w:bookmarkEnd w:id="75"/>
    </w:p>
    <w:p w14:paraId="3D709F41" w14:textId="77777777" w:rsidR="008623E2" w:rsidRPr="00B14C47" w:rsidRDefault="008623E2" w:rsidP="00B66DF8">
      <w:pPr>
        <w:pStyle w:val="Heading3"/>
        <w:spacing w:before="0"/>
        <w:rPr>
          <w:rFonts w:ascii="Arial" w:hAnsi="Arial" w:cs="Arial"/>
          <w:b w:val="0"/>
          <w:color w:val="auto"/>
        </w:rPr>
      </w:pPr>
    </w:p>
    <w:p w14:paraId="249A47CC" w14:textId="77777777" w:rsidR="00B66DF8" w:rsidRPr="00B14C47" w:rsidRDefault="00B66DF8" w:rsidP="00B66DF8">
      <w:pPr>
        <w:pStyle w:val="Heading3"/>
        <w:spacing w:before="0"/>
        <w:rPr>
          <w:rFonts w:ascii="Arial" w:hAnsi="Arial" w:cs="Arial"/>
          <w:lang w:val="bg-BG"/>
        </w:rPr>
      </w:pPr>
      <w:bookmarkStart w:id="76" w:name="_Toc164268346"/>
      <w:r w:rsidRPr="00B14C47">
        <w:rPr>
          <w:rFonts w:ascii="Arial" w:hAnsi="Arial" w:cs="Arial"/>
          <w:lang w:val="bg-BG"/>
        </w:rPr>
        <w:t>Лихви, дивиденти, загуби и печалби</w:t>
      </w:r>
      <w:bookmarkEnd w:id="76"/>
    </w:p>
    <w:p w14:paraId="4DC12604"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bookmarkStart w:id="77" w:name="p9626264"/>
      <w:bookmarkEnd w:id="77"/>
      <w:r w:rsidRPr="00B14C47">
        <w:rPr>
          <w:rFonts w:ascii="Arial" w:hAnsi="Arial" w:cs="Arial"/>
          <w:sz w:val="20"/>
          <w:lang w:eastAsia="bg-BG"/>
        </w:rPr>
        <w:t>Лихви, дивиденти, загуби и печалби, свързани с финансов инструмент или компонент, който е финансов пасив, се признават като приходи или разходи в печалбата или загубата.  Разпределенията за притежателите на инструменти на собствения капитал се признават директно в собствения капитал.</w:t>
      </w:r>
    </w:p>
    <w:p w14:paraId="05DC372E"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Разходите по операцията за капиталова сделка се отразяват счетоводно като намаление на собствения капитал.</w:t>
      </w:r>
    </w:p>
    <w:p w14:paraId="6C3D9D60"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Класификацията на финансов инструмент като финансов пасив или инструмент на собствения капитал определя дали лихвите, дивидентите, загубите и печалбите, свързани с този инструмент, се признават като приходи или разходи в печалбата или загубата. Плащанията на дивиденти за акции, изцяло признати като пасиви, се признават като разходи по същия начин както лихви по облигация. Печалбата и загубата, свързана с обратни изкупувания или рефинансиране на финансови пасиви, се признава в печалбата или загубата, докато обратните изкупувания или рефинансирането на инструменти на собствения капитал се признават като промени в собствения капитал. Промените в справедливата стойност на инструмента на собствения капитал не се признават във финансовите отчети.</w:t>
      </w:r>
    </w:p>
    <w:p w14:paraId="12CB5886"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Разходите при издаването или придобиването на свои инструменти на собствения капитал се отчитат в капитал, например при капиталова сделка разходите по сделката се отчитат счетоводно като намаление на собствения капитал.</w:t>
      </w:r>
    </w:p>
    <w:p w14:paraId="1E0FCED8"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lastRenderedPageBreak/>
        <w:t>Разходи по сделка, които са свързани с емитирането на съставен финансов инструмент, се разпределят към пасивния и капиталовия компонент, пропорционално на разпределението на постъпленията.  Разходите по сделка, които са съвместно свързани с повече от една сделка (например разходите за съвместно предлагане на някои акции и котиране на други акции на фондова борса), се разпределят между тези сделки, като се използва рационална и относима към сходни сделки база за разпределение.</w:t>
      </w:r>
    </w:p>
    <w:p w14:paraId="5F7EF6DB"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Печалбите и загубите, свързани с промени в балансовата стойност на финансов пасив, се признават като приходи или разходи в печалбата или загубата дори когато се отнасят до инструмент, който включва право на остатъчен дял от активите на предприятието в замяна срещу парични средства или друг финансов актив.</w:t>
      </w:r>
    </w:p>
    <w:p w14:paraId="24D106DA" w14:textId="77777777" w:rsidR="00B66DF8" w:rsidRPr="00B14C47" w:rsidRDefault="00B66DF8" w:rsidP="00B66DF8">
      <w:pPr>
        <w:rPr>
          <w:rFonts w:ascii="Arial" w:hAnsi="Arial" w:cs="Arial"/>
          <w:sz w:val="20"/>
          <w:lang w:eastAsia="bg-BG"/>
        </w:rPr>
      </w:pPr>
    </w:p>
    <w:p w14:paraId="0200A421" w14:textId="77777777" w:rsidR="00B66DF8" w:rsidRPr="00B14C47" w:rsidRDefault="00B66DF8" w:rsidP="00B66DF8">
      <w:pPr>
        <w:pStyle w:val="Heading3"/>
        <w:spacing w:before="0"/>
        <w:rPr>
          <w:rFonts w:ascii="Arial" w:hAnsi="Arial" w:cs="Arial"/>
          <w:lang w:val="bg-BG"/>
        </w:rPr>
      </w:pPr>
      <w:bookmarkStart w:id="78" w:name="_Toc164268347"/>
      <w:r w:rsidRPr="00B14C47">
        <w:rPr>
          <w:rFonts w:ascii="Arial" w:hAnsi="Arial" w:cs="Arial"/>
          <w:lang w:val="bg-BG"/>
        </w:rPr>
        <w:t>Компенсиране на финансов актив и финансов пасив</w:t>
      </w:r>
      <w:bookmarkEnd w:id="78"/>
      <w:r w:rsidRPr="00B14C47">
        <w:rPr>
          <w:rFonts w:ascii="Arial" w:hAnsi="Arial" w:cs="Arial"/>
          <w:lang w:val="bg-BG"/>
        </w:rPr>
        <w:t xml:space="preserve"> </w:t>
      </w:r>
    </w:p>
    <w:p w14:paraId="6DA52BAD" w14:textId="77777777" w:rsidR="00B66DF8" w:rsidRPr="00B14C47" w:rsidRDefault="00B66DF8" w:rsidP="00B66DF8">
      <w:pPr>
        <w:rPr>
          <w:rFonts w:ascii="Arial" w:hAnsi="Arial" w:cs="Arial"/>
          <w:sz w:val="20"/>
          <w:lang w:eastAsia="bg-BG"/>
        </w:rPr>
      </w:pPr>
      <w:r w:rsidRPr="00B14C47">
        <w:rPr>
          <w:rFonts w:ascii="Arial" w:hAnsi="Arial" w:cs="Arial"/>
          <w:sz w:val="20"/>
          <w:lang w:eastAsia="bg-BG"/>
        </w:rPr>
        <w:t>Финансовите активи и финансовите пасиви се компенсират и в отчета за финансовото състояние се представя нетната сума когато:</w:t>
      </w:r>
    </w:p>
    <w:p w14:paraId="748973B3" w14:textId="77777777" w:rsidR="00B66DF8" w:rsidRPr="00B14C47" w:rsidRDefault="00B66DF8" w:rsidP="00057C6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има юридически упражняемо право да компенсира признатите суми;  и</w:t>
      </w:r>
    </w:p>
    <w:p w14:paraId="58288181" w14:textId="77777777" w:rsidR="00B66DF8" w:rsidRPr="00B14C47" w:rsidRDefault="00B66DF8" w:rsidP="00057C6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има намерение или да уреди на нетна база, или да реализира актив и едновременно с това да уреди пасив.</w:t>
      </w:r>
    </w:p>
    <w:p w14:paraId="24FD05DC"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При счетоводното отчитане на прехвърлянето на финансов актив, който не отговаря на изискванията за отписване, Дружеството не компенсира прехвърления актив и свързания пасив.</w:t>
      </w:r>
    </w:p>
    <w:p w14:paraId="19D69427"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Компенсирането на признат финансов актив и признат финансов пасив и представянето на нетната стойност се различават от отписването на финансов актив или финансов пасив.</w:t>
      </w:r>
    </w:p>
    <w:p w14:paraId="57FE5DBB"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Правото на компенсиране е юридическо право на длъжник по договор да уреди или по друг начин да елиминира цялата или част от сумата, дължима на кредитор, чрез приспадането от тази сума на сума, дължима от кредитора.</w:t>
      </w:r>
    </w:p>
    <w:p w14:paraId="545EA64D"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Ако има юридическо право да приспадне сума, дължима от трето лице, от сумата, дължима на кредитора, при условие че между трите страни съществува споразумение, в което ясно е установено правото на длъжника да извърши компенсирането, активите и пасивите се представят компенсирано</w:t>
      </w:r>
      <w:r w:rsidR="001B3F30" w:rsidRPr="00B14C47">
        <w:rPr>
          <w:rFonts w:ascii="Arial" w:hAnsi="Arial" w:cs="Arial"/>
          <w:sz w:val="20"/>
          <w:lang w:eastAsia="bg-BG"/>
        </w:rPr>
        <w:t>.</w:t>
      </w:r>
    </w:p>
    <w:p w14:paraId="4E1EA9DE" w14:textId="77777777" w:rsidR="003D6B60" w:rsidRPr="00B14C47" w:rsidRDefault="003D6B60" w:rsidP="003D6B60">
      <w:pPr>
        <w:pStyle w:val="Heading3"/>
        <w:rPr>
          <w:rFonts w:ascii="Arial" w:hAnsi="Arial" w:cs="Arial"/>
          <w:szCs w:val="22"/>
        </w:rPr>
      </w:pPr>
      <w:bookmarkStart w:id="79" w:name="_Toc473124956"/>
      <w:bookmarkStart w:id="80" w:name="_Toc164268348"/>
      <w:r w:rsidRPr="00B14C47">
        <w:rPr>
          <w:rFonts w:ascii="Arial" w:hAnsi="Arial" w:cs="Arial"/>
          <w:szCs w:val="22"/>
        </w:rPr>
        <w:t>Пари и парични еквиваленти</w:t>
      </w:r>
      <w:bookmarkEnd w:id="79"/>
      <w:bookmarkEnd w:id="80"/>
      <w:r w:rsidRPr="00B14C47">
        <w:rPr>
          <w:rFonts w:ascii="Arial" w:hAnsi="Arial" w:cs="Arial"/>
          <w:szCs w:val="22"/>
        </w:rPr>
        <w:t xml:space="preserve"> </w:t>
      </w:r>
    </w:p>
    <w:p w14:paraId="096797F2" w14:textId="77777777" w:rsidR="003D6B60" w:rsidRPr="00B14C47" w:rsidRDefault="003D6B60" w:rsidP="003D6B60">
      <w:pPr>
        <w:rPr>
          <w:rFonts w:ascii="Arial" w:hAnsi="Arial" w:cs="Arial"/>
          <w:sz w:val="20"/>
        </w:rPr>
      </w:pPr>
      <w:r w:rsidRPr="00B14C47">
        <w:rPr>
          <w:rFonts w:ascii="Arial" w:hAnsi="Arial" w:cs="Arial"/>
          <w:sz w:val="20"/>
        </w:rPr>
        <w:t>Пари и парични еквиваленти включват пари в брой, депозити и други краткосрочни високо ликвидни инвестиции, които са лесно обръщаеми в определена сума пари и са предмет на незначителен риск от промени на стойността.</w:t>
      </w:r>
    </w:p>
    <w:p w14:paraId="663CE0C6" w14:textId="77777777" w:rsidR="003D6B60" w:rsidRPr="00B14C47" w:rsidRDefault="003D6B60" w:rsidP="003D6B60">
      <w:pPr>
        <w:rPr>
          <w:rFonts w:ascii="Arial" w:hAnsi="Arial" w:cs="Arial"/>
          <w:sz w:val="20"/>
        </w:rPr>
      </w:pPr>
      <w:r w:rsidRPr="00B14C47">
        <w:rPr>
          <w:rFonts w:ascii="Arial" w:hAnsi="Arial" w:cs="Arial"/>
          <w:sz w:val="20"/>
        </w:rPr>
        <w:t>За целите само на отчета за паричните потоци, пари и парични еквиваленти включват банкови овърдрафти, платими при поискване. Тъй като характеристиките на подобни банкови споразумения са, че банковото салдо често се променя от положително до овърдрафт, те се считат за неразделна част от управлението на парите на  Дружеството.</w:t>
      </w:r>
    </w:p>
    <w:p w14:paraId="4887FF2B" w14:textId="77777777" w:rsidR="003D6B60" w:rsidRPr="00B14C47" w:rsidRDefault="003D6B60" w:rsidP="003D6B60">
      <w:pPr>
        <w:rPr>
          <w:rFonts w:ascii="Arial" w:hAnsi="Arial" w:cs="Arial"/>
          <w:sz w:val="20"/>
        </w:rPr>
      </w:pPr>
      <w:r w:rsidRPr="00B14C47">
        <w:rPr>
          <w:rFonts w:ascii="Arial" w:hAnsi="Arial" w:cs="Arial"/>
          <w:sz w:val="20"/>
        </w:rPr>
        <w:t>Блокираните парични средства, за които дружеството има ограничения в ползването се изключват от паричните средства в индивидуалния отчет за паричните потоци.</w:t>
      </w:r>
    </w:p>
    <w:p w14:paraId="2454FC66" w14:textId="77777777" w:rsidR="003D6B60" w:rsidRPr="00B14C47" w:rsidRDefault="003D6B60" w:rsidP="00B66DF8">
      <w:pPr>
        <w:pStyle w:val="Heading3"/>
        <w:spacing w:before="0"/>
        <w:rPr>
          <w:rFonts w:ascii="Arial" w:hAnsi="Arial" w:cs="Arial"/>
        </w:rPr>
      </w:pPr>
    </w:p>
    <w:p w14:paraId="6B639E7B" w14:textId="77777777" w:rsidR="00B66DF8" w:rsidRPr="00B14C47" w:rsidRDefault="00B66DF8" w:rsidP="00B66DF8">
      <w:pPr>
        <w:pStyle w:val="Heading2"/>
        <w:spacing w:before="0"/>
        <w:rPr>
          <w:rFonts w:ascii="Arial" w:hAnsi="Arial" w:cs="Arial"/>
          <w:i/>
          <w:sz w:val="20"/>
          <w:szCs w:val="20"/>
          <w:lang w:val="bg-BG"/>
        </w:rPr>
      </w:pPr>
      <w:bookmarkStart w:id="81" w:name="_Toc164268349"/>
      <w:r w:rsidRPr="00B14C47">
        <w:rPr>
          <w:rFonts w:ascii="Arial" w:hAnsi="Arial" w:cs="Arial"/>
          <w:i/>
          <w:sz w:val="20"/>
          <w:szCs w:val="20"/>
          <w:lang w:val="bg-BG"/>
        </w:rPr>
        <w:t>РАЗХОДИ ПО ЗАЕМИ</w:t>
      </w:r>
      <w:bookmarkEnd w:id="81"/>
      <w:r w:rsidRPr="00B14C47">
        <w:rPr>
          <w:rFonts w:ascii="Arial" w:hAnsi="Arial" w:cs="Arial"/>
          <w:i/>
          <w:sz w:val="20"/>
          <w:szCs w:val="20"/>
          <w:lang w:val="bg-BG"/>
        </w:rPr>
        <w:t xml:space="preserve"> </w:t>
      </w:r>
    </w:p>
    <w:p w14:paraId="67C3D52F" w14:textId="77777777" w:rsidR="0022746F" w:rsidRPr="00B14C47" w:rsidRDefault="0022746F" w:rsidP="0022746F">
      <w:pPr>
        <w:rPr>
          <w:rFonts w:ascii="Arial" w:hAnsi="Arial" w:cs="Arial"/>
          <w:sz w:val="20"/>
        </w:rPr>
      </w:pPr>
      <w:r w:rsidRPr="00B14C47">
        <w:rPr>
          <w:rFonts w:ascii="Arial" w:hAnsi="Arial" w:cs="Arial"/>
          <w:sz w:val="20"/>
        </w:rPr>
        <w:t xml:space="preserve">Лихвата по заеми за финансиране на покупка и развитие на актив, който отговаря на условията за актив създаден в самото предприятие (т.е актив, който непременно изисква значителен период от време, за да стане готов за предвижданата му употреба или продажба) е включена в стойността на актива до момента, до който активите са значително готови за употреба или продажба. Такива разходи по заеми се капитализират нетно от какъвто и да било инвестиционен доход получен от временното инвестиране на средства, които са в излишък. </w:t>
      </w:r>
    </w:p>
    <w:p w14:paraId="5ED659B1" w14:textId="77777777" w:rsidR="0022746F" w:rsidRPr="00B14C47" w:rsidRDefault="0022746F" w:rsidP="0022746F">
      <w:pPr>
        <w:rPr>
          <w:rFonts w:ascii="Arial" w:hAnsi="Arial" w:cs="Arial"/>
          <w:sz w:val="20"/>
        </w:rPr>
      </w:pPr>
      <w:r w:rsidRPr="00B14C47">
        <w:rPr>
          <w:rFonts w:ascii="Arial" w:hAnsi="Arial" w:cs="Arial"/>
          <w:sz w:val="20"/>
        </w:rPr>
        <w:t>Всички други разходи по заеми се признават в печалба или загуба в периода, през който са възникнали.</w:t>
      </w:r>
    </w:p>
    <w:p w14:paraId="603BD189" w14:textId="77777777" w:rsidR="00B66DF8" w:rsidRPr="00B14C47" w:rsidRDefault="00B66DF8" w:rsidP="00B66DF8">
      <w:pPr>
        <w:rPr>
          <w:rFonts w:ascii="Arial" w:hAnsi="Arial" w:cs="Arial"/>
          <w:sz w:val="20"/>
        </w:rPr>
      </w:pPr>
    </w:p>
    <w:p w14:paraId="71E266BC" w14:textId="77777777" w:rsidR="00B66DF8" w:rsidRPr="00B14C47" w:rsidRDefault="00B66DF8" w:rsidP="00B66DF8">
      <w:pPr>
        <w:pStyle w:val="Heading2"/>
        <w:spacing w:before="0"/>
        <w:rPr>
          <w:rFonts w:ascii="Arial" w:hAnsi="Arial" w:cs="Arial"/>
          <w:i/>
          <w:sz w:val="20"/>
          <w:szCs w:val="20"/>
          <w:lang w:val="bg-BG"/>
        </w:rPr>
      </w:pPr>
      <w:bookmarkStart w:id="82" w:name="_Toc164268350"/>
      <w:r w:rsidRPr="00B14C47">
        <w:rPr>
          <w:rFonts w:ascii="Arial" w:hAnsi="Arial" w:cs="Arial"/>
          <w:i/>
          <w:sz w:val="20"/>
          <w:szCs w:val="20"/>
          <w:lang w:val="bg-BG"/>
        </w:rPr>
        <w:t>СДЕЛКИ В ЧУЖДЕСТРАННА ВАЛУТА</w:t>
      </w:r>
      <w:bookmarkEnd w:id="82"/>
      <w:r w:rsidRPr="00B14C47">
        <w:rPr>
          <w:rFonts w:ascii="Arial" w:hAnsi="Arial" w:cs="Arial"/>
          <w:i/>
          <w:sz w:val="20"/>
          <w:szCs w:val="20"/>
          <w:lang w:val="bg-BG"/>
        </w:rPr>
        <w:t xml:space="preserve"> </w:t>
      </w:r>
    </w:p>
    <w:p w14:paraId="158C1EB4" w14:textId="77777777" w:rsidR="000B0499" w:rsidRPr="00B14C47" w:rsidRDefault="000B0499" w:rsidP="000B0499">
      <w:pPr>
        <w:rPr>
          <w:rFonts w:ascii="Arial" w:hAnsi="Arial" w:cs="Arial"/>
          <w:sz w:val="20"/>
        </w:rPr>
      </w:pPr>
      <w:r w:rsidRPr="00B14C47">
        <w:rPr>
          <w:rFonts w:ascii="Arial" w:hAnsi="Arial" w:cs="Arial"/>
          <w:sz w:val="20"/>
        </w:rPr>
        <w:t>Паричните активи и пасиви в чуждестранна валута се превалутират във функционалната валута на съответното дружество от  Дружеството с помощта на обменните курсове на датата на отчитане. Печалбите и загубите произтичащи от промените в обменните курсове след датата на сделката се признават в печалба или загуба (освен когато са отсрочени в друг всеобхватен доход като хедж на паричен поток).</w:t>
      </w:r>
    </w:p>
    <w:p w14:paraId="3B82A227" w14:textId="77777777" w:rsidR="000B0499" w:rsidRPr="00B14C47" w:rsidRDefault="000B0499" w:rsidP="000B0499">
      <w:pPr>
        <w:rPr>
          <w:rFonts w:ascii="Arial" w:hAnsi="Arial" w:cs="Arial"/>
          <w:sz w:val="20"/>
        </w:rPr>
      </w:pPr>
    </w:p>
    <w:p w14:paraId="1D9385F1" w14:textId="77777777" w:rsidR="000B0499" w:rsidRPr="00B14C47" w:rsidRDefault="000B0499" w:rsidP="000B0499">
      <w:pPr>
        <w:rPr>
          <w:rFonts w:ascii="Arial" w:hAnsi="Arial" w:cs="Arial"/>
          <w:sz w:val="20"/>
        </w:rPr>
      </w:pPr>
      <w:r w:rsidRPr="00B14C47">
        <w:rPr>
          <w:rFonts w:ascii="Arial" w:hAnsi="Arial" w:cs="Arial"/>
          <w:sz w:val="20"/>
        </w:rPr>
        <w:t xml:space="preserve">Непаричните активи и пасиви, които се оценяват по историческа цена в чуждестранна валута се превалутират по обменния курс на датата на транзакцията. Разликите възникнали от превалутиране по непарични позиции, които се оценяват по справедлива стойност в чуждестранна </w:t>
      </w:r>
      <w:r w:rsidRPr="00B14C47">
        <w:rPr>
          <w:rFonts w:ascii="Arial" w:hAnsi="Arial" w:cs="Arial"/>
          <w:sz w:val="20"/>
        </w:rPr>
        <w:lastRenderedPageBreak/>
        <w:t xml:space="preserve">валута (например капиталови инструменти на разположение за продажба) се превалутират, като се използват обменните курсове на датата, когато се определя справедливата стойност. </w:t>
      </w:r>
    </w:p>
    <w:p w14:paraId="3F8624E0" w14:textId="77777777" w:rsidR="000B0499" w:rsidRPr="00B14C47" w:rsidRDefault="000B0499" w:rsidP="000B0499">
      <w:pPr>
        <w:rPr>
          <w:rFonts w:ascii="Arial" w:hAnsi="Arial" w:cs="Arial"/>
          <w:sz w:val="20"/>
        </w:rPr>
      </w:pPr>
    </w:p>
    <w:p w14:paraId="1841734E" w14:textId="77777777" w:rsidR="000B0499" w:rsidRPr="00B14C47" w:rsidRDefault="000B0499" w:rsidP="000B0499">
      <w:pPr>
        <w:rPr>
          <w:rFonts w:ascii="Arial" w:hAnsi="Arial" w:cs="Arial"/>
          <w:sz w:val="20"/>
        </w:rPr>
      </w:pPr>
      <w:r w:rsidRPr="00B14C47">
        <w:rPr>
          <w:rFonts w:ascii="Arial" w:hAnsi="Arial" w:cs="Arial"/>
          <w:sz w:val="20"/>
        </w:rPr>
        <w:t>Паричните позиции в чуждестранна валута се преизчисляват,  използвайки заключителния курс. Непаричните позиции, които се водят по историческа цена в чуждестранна валута се преизчисляват, използвайки обменния курс към датата на сделката.  Непаричните позиции, които се оценяват по справедлива стойност във валута, се преизчисляват посредством обменните курсове към датата на оценка на справедливата стойност.</w:t>
      </w:r>
    </w:p>
    <w:p w14:paraId="21F12738" w14:textId="77777777" w:rsidR="00B66DF8" w:rsidRPr="00B14C47" w:rsidRDefault="00B66DF8" w:rsidP="00B66DF8">
      <w:pPr>
        <w:rPr>
          <w:rFonts w:ascii="Arial" w:hAnsi="Arial" w:cs="Arial"/>
          <w:sz w:val="20"/>
        </w:rPr>
      </w:pPr>
    </w:p>
    <w:p w14:paraId="3B7A4571" w14:textId="77777777" w:rsidR="00B66DF8" w:rsidRPr="00B14C47" w:rsidRDefault="00B66DF8" w:rsidP="00B66DF8">
      <w:pPr>
        <w:pStyle w:val="Heading2"/>
        <w:spacing w:before="0"/>
        <w:rPr>
          <w:rFonts w:ascii="Arial" w:hAnsi="Arial" w:cs="Arial"/>
          <w:i/>
          <w:sz w:val="20"/>
          <w:szCs w:val="20"/>
          <w:lang w:val="bg-BG"/>
        </w:rPr>
      </w:pPr>
      <w:bookmarkStart w:id="83" w:name="_Toc164268351"/>
      <w:r w:rsidRPr="00B14C47">
        <w:rPr>
          <w:rFonts w:ascii="Arial" w:hAnsi="Arial" w:cs="Arial"/>
          <w:i/>
          <w:sz w:val="20"/>
          <w:szCs w:val="20"/>
          <w:lang w:val="bg-BG"/>
        </w:rPr>
        <w:t>ПЕНСИОННИ И ДРУГИ ЗАДЪЛЖЕНИЯ КЪМ ПЕРСОНАЛА ПО СОЦИАЛНОТО И ТРУДОВО ЗАКОНОДАТЕЛСТВО</w:t>
      </w:r>
      <w:bookmarkEnd w:id="83"/>
      <w:r w:rsidRPr="00B14C47">
        <w:rPr>
          <w:rFonts w:ascii="Arial" w:hAnsi="Arial" w:cs="Arial"/>
          <w:i/>
          <w:sz w:val="20"/>
          <w:szCs w:val="20"/>
          <w:lang w:val="bg-BG"/>
        </w:rPr>
        <w:t xml:space="preserve"> </w:t>
      </w:r>
    </w:p>
    <w:p w14:paraId="5CC6DF6F" w14:textId="77777777" w:rsidR="00B66DF8" w:rsidRPr="00B14C47" w:rsidRDefault="00B66DF8" w:rsidP="00B66DF8">
      <w:pPr>
        <w:rPr>
          <w:rFonts w:ascii="Arial" w:hAnsi="Arial" w:cs="Arial"/>
          <w:sz w:val="20"/>
        </w:rPr>
      </w:pPr>
      <w:r w:rsidRPr="00B14C47">
        <w:rPr>
          <w:rFonts w:ascii="Arial" w:hAnsi="Arial" w:cs="Arial"/>
          <w:sz w:val="20"/>
        </w:rPr>
        <w:t xml:space="preserve">Трудовите и осигурителни отношения с работниците и служителите в Дружеството се основават на разпоредбите на Кодекса на труда (КТ) и на разпоредбите на действащото осигурително законодателство.  </w:t>
      </w:r>
    </w:p>
    <w:p w14:paraId="547687EE" w14:textId="77777777" w:rsidR="00B66DF8" w:rsidRPr="00B14C47" w:rsidRDefault="00B66DF8" w:rsidP="00B66DF8">
      <w:pPr>
        <w:rPr>
          <w:rFonts w:ascii="Arial" w:hAnsi="Arial" w:cs="Arial"/>
          <w:sz w:val="20"/>
        </w:rPr>
      </w:pPr>
      <w:r w:rsidRPr="00B14C47">
        <w:rPr>
          <w:rFonts w:ascii="Arial" w:hAnsi="Arial" w:cs="Arial"/>
          <w:sz w:val="20"/>
        </w:rPr>
        <w:t>Основно задължение на работодателя е да извършва задължително осигуряване на наетия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w:t>
      </w:r>
    </w:p>
    <w:p w14:paraId="624990CC" w14:textId="42FE020D" w:rsidR="00B73DFF" w:rsidRPr="00B14C47" w:rsidRDefault="00B73DFF" w:rsidP="00B73DFF">
      <w:pPr>
        <w:rPr>
          <w:rFonts w:ascii="Arial" w:hAnsi="Arial" w:cs="Arial"/>
          <w:sz w:val="20"/>
        </w:rPr>
      </w:pPr>
      <w:r w:rsidRPr="00B14C47">
        <w:rPr>
          <w:rFonts w:ascii="Arial" w:hAnsi="Arial" w:cs="Arial"/>
          <w:sz w:val="20"/>
        </w:rPr>
        <w:t xml:space="preserve">Размерите на осигурителните вноски се утвърждават конкретно със  Закона за бюджета на ДОО  и  Закона за бюджета на НЗОК  за съответната година. Вноските се разпределят между работодателя и осигуреното лице в съотношение, което се променя ежегодно и е определено в чл. 6, ал. 3 от  „Кодекса за социално осигуряване” (КСО). Общият размер на вноската за фонд “Пенсии”, ДЗПО, фонд “ОЗМ”, фонд “Безработица” и здравно осигуряване през </w:t>
      </w:r>
      <w:r w:rsidR="00D108F8" w:rsidRPr="00B14C47">
        <w:rPr>
          <w:rFonts w:ascii="Arial" w:hAnsi="Arial" w:cs="Arial"/>
          <w:sz w:val="20"/>
        </w:rPr>
        <w:t>202</w:t>
      </w:r>
      <w:r w:rsidR="00E2262A">
        <w:rPr>
          <w:rFonts w:ascii="Arial" w:hAnsi="Arial" w:cs="Arial"/>
          <w:sz w:val="20"/>
          <w:lang w:val="en-US"/>
        </w:rPr>
        <w:t>3</w:t>
      </w:r>
      <w:r w:rsidR="00D108F8" w:rsidRPr="00B14C47">
        <w:rPr>
          <w:rFonts w:ascii="Arial" w:hAnsi="Arial" w:cs="Arial"/>
          <w:sz w:val="20"/>
        </w:rPr>
        <w:t xml:space="preserve"> </w:t>
      </w:r>
      <w:r w:rsidRPr="00B14C47">
        <w:rPr>
          <w:rFonts w:ascii="Arial" w:hAnsi="Arial" w:cs="Arial"/>
          <w:sz w:val="20"/>
        </w:rPr>
        <w:t>г., е както следва:</w:t>
      </w:r>
    </w:p>
    <w:p w14:paraId="3B44CC0F" w14:textId="77777777" w:rsidR="00B73DFF" w:rsidRPr="00B14C47" w:rsidRDefault="00B73DFF" w:rsidP="00057C67">
      <w:pPr>
        <w:numPr>
          <w:ilvl w:val="0"/>
          <w:numId w:val="3"/>
        </w:numPr>
        <w:rPr>
          <w:rFonts w:ascii="Arial" w:hAnsi="Arial" w:cs="Arial"/>
          <w:sz w:val="20"/>
        </w:rPr>
      </w:pPr>
      <w:r w:rsidRPr="00B14C47">
        <w:rPr>
          <w:rFonts w:ascii="Arial" w:hAnsi="Arial" w:cs="Arial"/>
          <w:sz w:val="20"/>
        </w:rPr>
        <w:t>32,30% (разпределено в съотношение работодател: осигурено лице 18,52:13,78) за работещите при условията на трета категория труд;</w:t>
      </w:r>
    </w:p>
    <w:p w14:paraId="59552F25" w14:textId="77777777" w:rsidR="00B73DFF" w:rsidRPr="00B14C47" w:rsidRDefault="00B73DFF" w:rsidP="00057C67">
      <w:pPr>
        <w:numPr>
          <w:ilvl w:val="0"/>
          <w:numId w:val="3"/>
        </w:numPr>
        <w:rPr>
          <w:rFonts w:ascii="Arial" w:hAnsi="Arial" w:cs="Arial"/>
          <w:sz w:val="20"/>
        </w:rPr>
      </w:pPr>
      <w:r w:rsidRPr="00B14C47">
        <w:rPr>
          <w:rFonts w:ascii="Arial" w:hAnsi="Arial" w:cs="Arial"/>
          <w:sz w:val="20"/>
        </w:rPr>
        <w:t>42,30% (разпределено в съотношение работодател: осигурено лице 28,4:12,9) за работещите при условията втора категория.</w:t>
      </w:r>
    </w:p>
    <w:p w14:paraId="33FE7429" w14:textId="032F7DDF" w:rsidR="00B73DFF" w:rsidRPr="00B14C47" w:rsidRDefault="00B73DFF" w:rsidP="00B73DFF">
      <w:pPr>
        <w:rPr>
          <w:rFonts w:ascii="Arial" w:hAnsi="Arial" w:cs="Arial"/>
          <w:sz w:val="20"/>
        </w:rPr>
      </w:pPr>
      <w:r w:rsidRPr="00B14C47">
        <w:rPr>
          <w:rFonts w:ascii="Arial" w:hAnsi="Arial" w:cs="Arial"/>
          <w:sz w:val="20"/>
        </w:rPr>
        <w:t xml:space="preserve">В допълнение, изцяло за своя сметка работодателят прави осигурителна вноска за фонд “ТЗПБ”, която е диференцирана за различните предприятия от 0.4% до 1.1% в зависимост от икономическата дейност на дружеството. </w:t>
      </w:r>
      <w:r w:rsidR="00136E1F" w:rsidRPr="00B14C47">
        <w:rPr>
          <w:rFonts w:ascii="Arial" w:hAnsi="Arial" w:cs="Arial"/>
          <w:sz w:val="20"/>
        </w:rPr>
        <w:t xml:space="preserve">За </w:t>
      </w:r>
      <w:r w:rsidR="00F24A1B" w:rsidRPr="00B14C47">
        <w:rPr>
          <w:rFonts w:ascii="Arial" w:hAnsi="Arial" w:cs="Arial"/>
          <w:sz w:val="20"/>
        </w:rPr>
        <w:t>202</w:t>
      </w:r>
      <w:r w:rsidR="00F24A1B">
        <w:rPr>
          <w:rFonts w:ascii="Arial" w:hAnsi="Arial" w:cs="Arial"/>
          <w:sz w:val="20"/>
        </w:rPr>
        <w:t>4</w:t>
      </w:r>
      <w:r w:rsidR="00F24A1B" w:rsidRPr="00B14C47">
        <w:rPr>
          <w:rFonts w:ascii="Arial" w:hAnsi="Arial" w:cs="Arial"/>
          <w:sz w:val="20"/>
        </w:rPr>
        <w:t xml:space="preserve"> </w:t>
      </w:r>
      <w:r w:rsidR="00136E1F" w:rsidRPr="00B14C47">
        <w:rPr>
          <w:rFonts w:ascii="Arial" w:hAnsi="Arial" w:cs="Arial"/>
          <w:sz w:val="20"/>
        </w:rPr>
        <w:t>година няма пром</w:t>
      </w:r>
      <w:r w:rsidR="00D108F8" w:rsidRPr="00B14C47">
        <w:rPr>
          <w:rFonts w:ascii="Arial" w:hAnsi="Arial" w:cs="Arial"/>
          <w:sz w:val="20"/>
        </w:rPr>
        <w:t>е</w:t>
      </w:r>
      <w:r w:rsidR="00136E1F" w:rsidRPr="00B14C47">
        <w:rPr>
          <w:rFonts w:ascii="Arial" w:hAnsi="Arial" w:cs="Arial"/>
          <w:sz w:val="20"/>
        </w:rPr>
        <w:t>н</w:t>
      </w:r>
      <w:r w:rsidR="00D108F8" w:rsidRPr="00B14C47">
        <w:rPr>
          <w:rFonts w:ascii="Arial" w:hAnsi="Arial" w:cs="Arial"/>
          <w:sz w:val="20"/>
        </w:rPr>
        <w:t>и</w:t>
      </w:r>
      <w:r w:rsidR="00136E1F" w:rsidRPr="00B14C47">
        <w:rPr>
          <w:rFonts w:ascii="Arial" w:hAnsi="Arial" w:cs="Arial"/>
          <w:sz w:val="20"/>
        </w:rPr>
        <w:t xml:space="preserve"> в осигурителните вноски.</w:t>
      </w:r>
      <w:r w:rsidR="00F24A1B" w:rsidRPr="00F24A1B">
        <w:rPr>
          <w:rFonts w:ascii="Arial" w:hAnsi="Arial" w:cs="Arial"/>
          <w:sz w:val="20"/>
        </w:rPr>
        <w:t xml:space="preserve"> </w:t>
      </w:r>
      <w:r w:rsidR="00F24A1B">
        <w:rPr>
          <w:rFonts w:ascii="Arial" w:hAnsi="Arial" w:cs="Arial"/>
          <w:sz w:val="20"/>
        </w:rPr>
        <w:t>От 01.01.2024г. с</w:t>
      </w:r>
      <w:r w:rsidR="00B94061">
        <w:rPr>
          <w:rFonts w:ascii="Arial" w:hAnsi="Arial" w:cs="Arial"/>
          <w:sz w:val="20"/>
        </w:rPr>
        <w:t>е увеличиха</w:t>
      </w:r>
      <w:r w:rsidR="00F24A1B">
        <w:rPr>
          <w:rFonts w:ascii="Arial" w:hAnsi="Arial" w:cs="Arial"/>
          <w:sz w:val="20"/>
        </w:rPr>
        <w:t xml:space="preserve"> МРЗ от 780 лв. на 933 лв. и максималния осигурителен доход от 3 400 лв. на 3 750 лв. От тези промени не се очаква съществен ефект върху финансовия отчет и финансовото състояние на дружеството.</w:t>
      </w:r>
    </w:p>
    <w:p w14:paraId="43BB1AF1" w14:textId="77777777" w:rsidR="00B66DF8" w:rsidRPr="00B14C47" w:rsidRDefault="00B66DF8" w:rsidP="00B66DF8">
      <w:pPr>
        <w:rPr>
          <w:rFonts w:ascii="Arial" w:hAnsi="Arial" w:cs="Arial"/>
          <w:sz w:val="20"/>
        </w:rPr>
      </w:pPr>
      <w:r w:rsidRPr="00B14C47">
        <w:rPr>
          <w:rFonts w:ascii="Arial" w:hAnsi="Arial" w:cs="Arial"/>
          <w:sz w:val="20"/>
        </w:rPr>
        <w:t>Към Дружеството няма създаден и функциониращ частен доброволен осигурителен фонд.</w:t>
      </w:r>
    </w:p>
    <w:p w14:paraId="7C05656A" w14:textId="77777777" w:rsidR="00B66DF8" w:rsidRPr="00B14C47" w:rsidRDefault="00B66DF8" w:rsidP="00B66DF8">
      <w:pPr>
        <w:rPr>
          <w:rFonts w:ascii="Arial" w:hAnsi="Arial" w:cs="Arial"/>
          <w:sz w:val="20"/>
        </w:rPr>
      </w:pPr>
      <w:r w:rsidRPr="00B14C47">
        <w:rPr>
          <w:rFonts w:ascii="Arial" w:hAnsi="Arial" w:cs="Arial"/>
          <w:sz w:val="20"/>
        </w:rPr>
        <w:t>Осигурителните и пенсионни планове, прилагани от дружествата в качеството им на работодател се основават на българското законодателство и са планове с дефинирани  вноски. При тези планове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да изплатят на съответните лица заработените от тях суми за периода на трудовия им стаж. Аналогично са задълженията по отношение на здравното осигуряване.</w:t>
      </w:r>
    </w:p>
    <w:p w14:paraId="761099DA" w14:textId="77777777" w:rsidR="00B66DF8" w:rsidRPr="00B14C47" w:rsidRDefault="00B66DF8" w:rsidP="00B66DF8">
      <w:pPr>
        <w:rPr>
          <w:rFonts w:ascii="Arial" w:hAnsi="Arial" w:cs="Arial"/>
          <w:sz w:val="20"/>
        </w:rPr>
      </w:pPr>
      <w:r w:rsidRPr="00B14C47">
        <w:rPr>
          <w:rFonts w:ascii="Arial" w:hAnsi="Arial" w:cs="Arial"/>
          <w:sz w:val="20"/>
        </w:rPr>
        <w:t xml:space="preserve">Дружествата осигуряват всяко наето лице, на основата на сключен договор с дружество за доброволно здравно осигуряване, за доболнични и болнични медицински услуги. </w:t>
      </w:r>
    </w:p>
    <w:p w14:paraId="75EB3442" w14:textId="77777777" w:rsidR="00B66DF8" w:rsidRPr="00B14C47" w:rsidRDefault="00B66DF8" w:rsidP="00B66DF8">
      <w:pPr>
        <w:rPr>
          <w:rFonts w:ascii="Arial" w:hAnsi="Arial" w:cs="Arial"/>
          <w:sz w:val="20"/>
        </w:rPr>
      </w:pPr>
      <w:r w:rsidRPr="00B14C47">
        <w:rPr>
          <w:rFonts w:ascii="Arial" w:hAnsi="Arial" w:cs="Arial"/>
          <w:sz w:val="20"/>
        </w:rPr>
        <w:t xml:space="preserve">Съгласно разпоредбите на Кодекса на труда работодателят има задължение да изплати при прекратяване на трудовия договор следните обезщетения: </w:t>
      </w:r>
    </w:p>
    <w:p w14:paraId="5B40AFC0"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неспазено предизвестие – за периода на неспазеното предизвестие;</w:t>
      </w:r>
    </w:p>
    <w:p w14:paraId="5BA3489E"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 xml:space="preserve">поради закриване на дружеството или на част от него, съкращаване в щата, намаляване на обема на работа и спиране на работа за повече  от 15 дни  и др. – от една брутна месечна работна заплата; </w:t>
      </w:r>
    </w:p>
    <w:p w14:paraId="2225B682"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при прекратяване на трудовия договор поради болест – в размер на брутното възнаграждение на работника  за два  месеца при условие, че има най-малко пет години трудов стаж и  не е получавал обезщетение на същото основание;</w:t>
      </w:r>
    </w:p>
    <w:p w14:paraId="1BD75C4A"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при пенсиониране – от 2 до 6 брутни месечни работни заплати според трудовия стаж в дружеството;</w:t>
      </w:r>
    </w:p>
    <w:p w14:paraId="2FFC4C2A"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за неизползван платен годишен отпуск – за съответните години за времето, което се признава за трудов стаж.</w:t>
      </w:r>
    </w:p>
    <w:p w14:paraId="7D02B375" w14:textId="77777777" w:rsidR="00B66DF8" w:rsidRPr="00B14C47" w:rsidRDefault="00B66DF8" w:rsidP="00B66DF8">
      <w:pPr>
        <w:rPr>
          <w:rFonts w:ascii="Arial" w:hAnsi="Arial" w:cs="Arial"/>
          <w:sz w:val="20"/>
        </w:rPr>
      </w:pPr>
      <w:r w:rsidRPr="00B14C47">
        <w:rPr>
          <w:rFonts w:ascii="Arial" w:hAnsi="Arial" w:cs="Arial"/>
          <w:sz w:val="20"/>
        </w:rPr>
        <w:t>След изплащането на посочените обезщетения за работодателя не произтичат други задължения към работниците и служителите.</w:t>
      </w:r>
    </w:p>
    <w:p w14:paraId="2E255667" w14:textId="77777777" w:rsidR="00B10BD2" w:rsidRPr="00B14C47" w:rsidRDefault="00B10BD2" w:rsidP="00B10BD2">
      <w:pPr>
        <w:rPr>
          <w:rFonts w:ascii="Arial" w:hAnsi="Arial" w:cs="Arial"/>
          <w:sz w:val="20"/>
        </w:rPr>
      </w:pPr>
      <w:r w:rsidRPr="00B14C47">
        <w:rPr>
          <w:rFonts w:ascii="Arial" w:hAnsi="Arial" w:cs="Arial"/>
          <w:sz w:val="20"/>
        </w:rPr>
        <w:lastRenderedPageBreak/>
        <w:t>Краткосрочните доходи за персонала под формата на възнаграждения, бонуси и социални доплащания и придобивки, (изискуеми в рамките на 12 месеца след края на периода, в който персоналът е положил труд за тях или е изпълнил необходимите условия) се признават като разход в отчета за всеобхватния доход в периода, в който е положен трудът за тях или са изпълнени изискванията за тяхното получаване, като текущо задължение (след приспадане на всички платени вече суми и полагащи се удръжки) в размер на недисконтираната им сума. Дължимите вноски по социалното и здравно осигуряване се признават като текущ разход и задължение в недисконтиран размер заедно и в периода на начисление на съответните доходи, с които те са свързани.</w:t>
      </w:r>
    </w:p>
    <w:p w14:paraId="69708442" w14:textId="77777777" w:rsidR="00B10BD2" w:rsidRPr="00B14C47" w:rsidRDefault="00B10BD2" w:rsidP="00B10BD2">
      <w:pPr>
        <w:rPr>
          <w:rFonts w:ascii="Arial" w:hAnsi="Arial" w:cs="Arial"/>
          <w:sz w:val="20"/>
        </w:rPr>
      </w:pPr>
      <w:r w:rsidRPr="00B14C47">
        <w:rPr>
          <w:rFonts w:ascii="Arial" w:hAnsi="Arial" w:cs="Arial"/>
          <w:sz w:val="20"/>
        </w:rPr>
        <w:t>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не се включват приблизителната преценка в недисконтиран размер на разходите за вноски по задължителното обществено осигуряване.</w:t>
      </w:r>
    </w:p>
    <w:p w14:paraId="1C8EC5D3" w14:textId="77777777" w:rsidR="00B10BD2" w:rsidRPr="00B14C47" w:rsidRDefault="00B10BD2" w:rsidP="00B10BD2">
      <w:pPr>
        <w:rPr>
          <w:rFonts w:ascii="Arial" w:hAnsi="Arial" w:cs="Arial"/>
          <w:sz w:val="20"/>
        </w:rPr>
      </w:pPr>
      <w:r w:rsidRPr="00B14C47">
        <w:rPr>
          <w:rFonts w:ascii="Arial" w:hAnsi="Arial" w:cs="Arial"/>
          <w:sz w:val="20"/>
        </w:rPr>
        <w:t xml:space="preserve">Съгласно Кодекса на труда работодателят е задължен да изплаща на лица от персонала при настъпване на пенсионна възраст обезщетение, което в зависимост от трудовия стаж в съответното предприятие може да варира между 2 и 6 брутни месечни работни заплати към датата на прекратяване на трудовото правоотношение. По своите характеристики тези схеми представляват планове с дефинирани доходи. </w:t>
      </w:r>
    </w:p>
    <w:p w14:paraId="2C47EE12" w14:textId="77777777" w:rsidR="00B10BD2" w:rsidRPr="00B14C47" w:rsidRDefault="00B10BD2" w:rsidP="00B10BD2">
      <w:pPr>
        <w:rPr>
          <w:rFonts w:ascii="Arial" w:hAnsi="Arial" w:cs="Arial"/>
          <w:sz w:val="20"/>
        </w:rPr>
      </w:pPr>
      <w:r w:rsidRPr="00B14C47">
        <w:rPr>
          <w:rFonts w:ascii="Arial" w:hAnsi="Arial" w:cs="Arial"/>
          <w:sz w:val="20"/>
        </w:rPr>
        <w:t>Дружеството няма политика за отчитане на дългосрочни доходи на персонала и изготвяне на актюерски оценки. Ръководството прави ежегодно преглед дали се очаква да се изплатят обезщетения при настъпване на пенсионна възраст през следващите 12 месеца след датата на финансовия отчет и ако се очакват такива се признава провизия за обезщетението, което трябва да се изплати.</w:t>
      </w:r>
    </w:p>
    <w:p w14:paraId="5E84E7C7" w14:textId="77777777" w:rsidR="00B66DF8" w:rsidRPr="00B14C47" w:rsidRDefault="00B66DF8" w:rsidP="00B66DF8">
      <w:pPr>
        <w:rPr>
          <w:rFonts w:ascii="Arial" w:hAnsi="Arial" w:cs="Arial"/>
          <w:sz w:val="20"/>
        </w:rPr>
      </w:pPr>
    </w:p>
    <w:p w14:paraId="2BBCA2D3" w14:textId="77777777" w:rsidR="00B66DF8" w:rsidRPr="00B14C47" w:rsidRDefault="00B66DF8" w:rsidP="00B66DF8">
      <w:pPr>
        <w:pStyle w:val="Heading2"/>
        <w:spacing w:before="0"/>
        <w:rPr>
          <w:rFonts w:ascii="Arial" w:hAnsi="Arial" w:cs="Arial"/>
          <w:i/>
          <w:sz w:val="20"/>
          <w:szCs w:val="20"/>
          <w:lang w:val="bg-BG"/>
        </w:rPr>
      </w:pPr>
      <w:bookmarkStart w:id="84" w:name="_Toc164268352"/>
      <w:r w:rsidRPr="00B14C47">
        <w:rPr>
          <w:rFonts w:ascii="Arial" w:hAnsi="Arial" w:cs="Arial"/>
          <w:i/>
          <w:sz w:val="20"/>
          <w:szCs w:val="20"/>
          <w:lang w:val="bg-BG"/>
        </w:rPr>
        <w:t>ДАНЪЦИ ВЪРХУ ДОХОДА И ДДС</w:t>
      </w:r>
      <w:bookmarkEnd w:id="84"/>
    </w:p>
    <w:p w14:paraId="1B1FBE71" w14:textId="5BA0D7B2" w:rsidR="00F24A1B" w:rsidRPr="00A56A6D" w:rsidRDefault="008023E1" w:rsidP="00F24A1B">
      <w:pPr>
        <w:rPr>
          <w:rFonts w:ascii="Arial" w:hAnsi="Arial" w:cs="Arial"/>
          <w:sz w:val="20"/>
        </w:rPr>
      </w:pPr>
      <w:r w:rsidRPr="00B14C47">
        <w:rPr>
          <w:rFonts w:ascii="Arial" w:hAnsi="Arial" w:cs="Arial"/>
          <w:sz w:val="20"/>
        </w:rPr>
        <w:t>Дължимият текущо данък се изчислява с помощта на данъчните ставки в сила или приетите за действащи ставки към датата на отчитане.</w:t>
      </w:r>
      <w:r w:rsidR="00F24A1B" w:rsidRPr="00F24A1B">
        <w:rPr>
          <w:rFonts w:ascii="Arial" w:hAnsi="Arial" w:cs="Arial"/>
          <w:sz w:val="20"/>
        </w:rPr>
        <w:t xml:space="preserve"> </w:t>
      </w:r>
      <w:r w:rsidR="00F24A1B" w:rsidRPr="00A56A6D">
        <w:rPr>
          <w:rFonts w:ascii="Arial" w:hAnsi="Arial" w:cs="Arial"/>
          <w:sz w:val="20"/>
        </w:rPr>
        <w:t>Номиналната данъчна ставк</w:t>
      </w:r>
      <w:r w:rsidR="00B94061">
        <w:rPr>
          <w:rFonts w:ascii="Arial" w:hAnsi="Arial" w:cs="Arial"/>
          <w:sz w:val="20"/>
        </w:rPr>
        <w:t>а на корпоративния данък за 2024</w:t>
      </w:r>
      <w:r w:rsidR="00F24A1B" w:rsidRPr="00A56A6D">
        <w:rPr>
          <w:rFonts w:ascii="Arial" w:hAnsi="Arial" w:cs="Arial"/>
          <w:sz w:val="20"/>
        </w:rPr>
        <w:t xml:space="preserve">г. е 10% </w:t>
      </w:r>
      <w:r w:rsidR="00B94061">
        <w:rPr>
          <w:rFonts w:ascii="Arial" w:hAnsi="Arial" w:cs="Arial"/>
          <w:sz w:val="20"/>
          <w:lang w:val="en-US"/>
        </w:rPr>
        <w:t>(202</w:t>
      </w:r>
      <w:r w:rsidR="00B94061">
        <w:rPr>
          <w:rFonts w:ascii="Arial" w:hAnsi="Arial" w:cs="Arial"/>
          <w:sz w:val="20"/>
        </w:rPr>
        <w:t>3</w:t>
      </w:r>
      <w:r w:rsidR="00F24A1B" w:rsidRPr="00A56A6D">
        <w:rPr>
          <w:rFonts w:ascii="Arial" w:hAnsi="Arial" w:cs="Arial"/>
          <w:sz w:val="20"/>
        </w:rPr>
        <w:t>:10%</w:t>
      </w:r>
      <w:r w:rsidR="00F24A1B" w:rsidRPr="00A56A6D">
        <w:rPr>
          <w:rFonts w:ascii="Arial" w:hAnsi="Arial" w:cs="Arial"/>
          <w:sz w:val="20"/>
          <w:lang w:val="en-US"/>
        </w:rPr>
        <w:t>)</w:t>
      </w:r>
      <w:r w:rsidR="00F24A1B" w:rsidRPr="00A56A6D">
        <w:rPr>
          <w:rFonts w:ascii="Arial" w:hAnsi="Arial" w:cs="Arial"/>
          <w:sz w:val="20"/>
        </w:rPr>
        <w:t>.</w:t>
      </w:r>
    </w:p>
    <w:p w14:paraId="4DB0F466" w14:textId="77777777" w:rsidR="00F24A1B" w:rsidRPr="003F0226" w:rsidRDefault="00F24A1B" w:rsidP="00F24A1B">
      <w:pPr>
        <w:shd w:val="clear" w:color="auto" w:fill="FFFFFF"/>
        <w:rPr>
          <w:rFonts w:ascii="Arial" w:hAnsi="Arial" w:cs="Arial"/>
          <w:color w:val="000000"/>
          <w:sz w:val="20"/>
          <w:lang w:eastAsia="bg-BG"/>
        </w:rPr>
      </w:pPr>
      <w:r w:rsidRPr="00A56A6D">
        <w:rPr>
          <w:rFonts w:ascii="Arial" w:hAnsi="Arial" w:cs="Arial"/>
          <w:sz w:val="20"/>
        </w:rPr>
        <w:t>Няма промяна в данъчната ставка от 01.01.2024г., но в края на 2023г. в Закона за корпоративно подоходно облагане</w:t>
      </w:r>
      <w:r>
        <w:rPr>
          <w:rFonts w:ascii="Arial" w:hAnsi="Arial" w:cs="Arial"/>
          <w:sz w:val="20"/>
        </w:rPr>
        <w:t xml:space="preserve"> </w:t>
      </w:r>
      <w:r w:rsidRPr="00A56A6D">
        <w:rPr>
          <w:rFonts w:ascii="Arial" w:hAnsi="Arial" w:cs="Arial"/>
          <w:sz w:val="20"/>
        </w:rPr>
        <w:t>са приети промени, с които е предвидено многонационалните и големите национални групи предприятия да се облагат с национален допълнителен данък.</w:t>
      </w:r>
      <w:r>
        <w:rPr>
          <w:rFonts w:ascii="Arial" w:hAnsi="Arial" w:cs="Arial"/>
          <w:sz w:val="20"/>
        </w:rPr>
        <w:t xml:space="preserve"> </w:t>
      </w:r>
      <w:r w:rsidRPr="003F0226">
        <w:rPr>
          <w:rFonts w:ascii="Arial" w:hAnsi="Arial" w:cs="Arial"/>
          <w:color w:val="000000"/>
          <w:sz w:val="20"/>
          <w:shd w:val="clear" w:color="auto" w:fill="FFFFFF"/>
        </w:rPr>
        <w:t>Минималното ефективно данъчно облагане се прилага за съставни образувания, които са разположени в страната и които през данъчния период са членове на многонационална група предприятия или на голяма национална група предприятия с годишни приходи в консолидираните финансови отчети на крайното образувание майка на групата, включително приходите на изключените образувания, през поне два от четирите данъчни периода преди текущия данъчен период в размер на най-малко</w:t>
      </w:r>
      <w:r>
        <w:rPr>
          <w:rFonts w:ascii="Arial" w:hAnsi="Arial" w:cs="Arial"/>
          <w:color w:val="000000"/>
          <w:sz w:val="20"/>
          <w:shd w:val="clear" w:color="auto" w:fill="FFFFFF"/>
        </w:rPr>
        <w:t xml:space="preserve"> </w:t>
      </w:r>
      <w:r w:rsidRPr="003F0226">
        <w:rPr>
          <w:rFonts w:ascii="Arial" w:hAnsi="Arial" w:cs="Arial"/>
          <w:color w:val="000000"/>
          <w:sz w:val="20"/>
          <w:shd w:val="clear" w:color="auto" w:fill="FFFFFF"/>
        </w:rPr>
        <w:t>750 000 000 евро или левовата им равностойност, определена по официалния валутен курс на лева към еврото.</w:t>
      </w:r>
      <w:r>
        <w:rPr>
          <w:rFonts w:ascii="Arial" w:hAnsi="Arial" w:cs="Arial"/>
          <w:color w:val="000000"/>
          <w:sz w:val="20"/>
          <w:shd w:val="clear" w:color="auto" w:fill="FFFFFF"/>
        </w:rPr>
        <w:t xml:space="preserve"> </w:t>
      </w:r>
      <w:r w:rsidRPr="003F0226">
        <w:rPr>
          <w:rFonts w:ascii="Arial" w:hAnsi="Arial" w:cs="Arial"/>
          <w:color w:val="000000"/>
          <w:sz w:val="20"/>
          <w:lang w:eastAsia="bg-BG"/>
        </w:rPr>
        <w:t>Тази част не се прилага за изключени образувания, а именно:</w:t>
      </w:r>
    </w:p>
    <w:p w14:paraId="189CCD7D"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1. публично образувание, международна организация, организация с нестопанска цел, пенсионен фонд, инвестиционен фонд, който е крайно образувание майка, както и дружество за инвестиции в недвижими имоти, което е крайно образувание майка;</w:t>
      </w:r>
    </w:p>
    <w:p w14:paraId="5284057B"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2. образувание, най-малко 95 на сто от стойността на което се държи пряко или косвено от едно или повече образувания по т. 1, различни от образувания за пенсионни услуги, и което:</w:t>
      </w:r>
    </w:p>
    <w:p w14:paraId="2DD32E0E"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а) извършва дейност, която се състои изцяло или почти изцяло в държане на активи или инвестиране на средства в полза на образувания по т. 1, или</w:t>
      </w:r>
    </w:p>
    <w:p w14:paraId="199A97EB"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б) извършва единствено спомагателни дейности към дейностите, извършвани от образувания по т.1;</w:t>
      </w:r>
    </w:p>
    <w:p w14:paraId="5AC2DB20"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3. образувание, най-малко 85 на сто от стойността на което се държи пряко или чрез едно или повече изключени образувания от едно или повече образувания по т. 1, различни от образувания за пенсионни услуги, при условие че печалбата му почти изцяло е формирана от дивиденти или капиталови печалби или загуби, които не се вземат предвид при определяне на допустимата печалба или загуба по реда предвиден в чл. 260н, ал. 2, т. 2 и 3.</w:t>
      </w:r>
    </w:p>
    <w:p w14:paraId="005D42C8"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Предвидено е вторично облагане в рамките на многонационална група предприятия.</w:t>
      </w:r>
    </w:p>
    <w:p w14:paraId="14D79234" w14:textId="77777777" w:rsidR="00F24A1B" w:rsidRPr="001A3F19" w:rsidRDefault="00F24A1B" w:rsidP="00F24A1B">
      <w:pPr>
        <w:rPr>
          <w:rFonts w:ascii="Arial" w:hAnsi="Arial" w:cs="Arial"/>
          <w:color w:val="000000"/>
          <w:sz w:val="20"/>
          <w:shd w:val="clear" w:color="auto" w:fill="FFFFFF"/>
        </w:rPr>
      </w:pPr>
      <w:r w:rsidRPr="003F0226">
        <w:rPr>
          <w:rFonts w:ascii="Arial" w:hAnsi="Arial" w:cs="Arial"/>
          <w:color w:val="000000"/>
          <w:sz w:val="20"/>
          <w:shd w:val="clear" w:color="auto" w:fill="FFFFFF"/>
        </w:rPr>
        <w:t>Данъчната ставка на допълнителния данък е положителната разлика между 15 на сто и ефективната данъчна ставка на многонационалната или голямата национална група предприятия за юрисдикцията.</w:t>
      </w:r>
    </w:p>
    <w:p w14:paraId="2D109A6D" w14:textId="77777777" w:rsidR="00F24A1B" w:rsidRPr="001A3F19" w:rsidRDefault="00F24A1B" w:rsidP="00F24A1B">
      <w:pPr>
        <w:rPr>
          <w:rFonts w:ascii="Arial" w:hAnsi="Arial" w:cs="Arial"/>
          <w:color w:val="000000"/>
          <w:sz w:val="20"/>
          <w:shd w:val="clear" w:color="auto" w:fill="FFFFFF"/>
        </w:rPr>
      </w:pPr>
      <w:r w:rsidRPr="003F0226">
        <w:rPr>
          <w:rFonts w:ascii="Arial" w:hAnsi="Arial" w:cs="Arial"/>
          <w:color w:val="000000"/>
          <w:sz w:val="20"/>
          <w:shd w:val="clear" w:color="auto" w:fill="FFFFFF"/>
        </w:rPr>
        <w:t>Към датата на настоящия финансов отчет Дружеството не е член на многонационална група или голяма национална група предприятия отговаряща на условията предвидени за допълнително облагане и не се очаква допълнително облагане на печалбата на Дружеството през 2024г.</w:t>
      </w:r>
    </w:p>
    <w:p w14:paraId="71011F04" w14:textId="77777777" w:rsidR="00F24A1B" w:rsidRPr="00A56A6D" w:rsidRDefault="00F24A1B" w:rsidP="00F24A1B">
      <w:pPr>
        <w:rPr>
          <w:rFonts w:ascii="Arial" w:hAnsi="Arial" w:cs="Arial"/>
          <w:sz w:val="20"/>
        </w:rPr>
      </w:pPr>
      <w:r w:rsidRPr="003F0226">
        <w:rPr>
          <w:rFonts w:ascii="Arial" w:hAnsi="Arial" w:cs="Arial"/>
          <w:color w:val="000000"/>
          <w:sz w:val="20"/>
          <w:shd w:val="clear" w:color="auto" w:fill="FFFFFF"/>
        </w:rPr>
        <w:t>Предвид и изключенията на МСС 12 за Дружеството не възникват задължения за допълнителни оповестявания</w:t>
      </w:r>
      <w:r w:rsidRPr="003F0226">
        <w:rPr>
          <w:rFonts w:ascii="Arial" w:hAnsi="Arial" w:cs="Arial"/>
          <w:sz w:val="20"/>
        </w:rPr>
        <w:t xml:space="preserve"> относно данъци върху дохода от втори стълб .</w:t>
      </w:r>
    </w:p>
    <w:p w14:paraId="7EBF30D8" w14:textId="5100B575" w:rsidR="008023E1" w:rsidRPr="00B14C47" w:rsidRDefault="008023E1" w:rsidP="008023E1">
      <w:pPr>
        <w:rPr>
          <w:rFonts w:ascii="Arial" w:hAnsi="Arial" w:cs="Arial"/>
          <w:sz w:val="20"/>
        </w:rPr>
      </w:pPr>
      <w:r w:rsidRPr="00B14C47">
        <w:rPr>
          <w:rFonts w:ascii="Arial" w:hAnsi="Arial" w:cs="Arial"/>
          <w:sz w:val="20"/>
        </w:rPr>
        <w:lastRenderedPageBreak/>
        <w:t>Облагаемата печалба се различава от счетоводната печалба или защото някои доходи и разходи се считат за облагаеми или данъчно признати или защото времето, за което те са били облагаеми или данъчно признати се различава при тяхното данъчно и счетоводно третиране.</w:t>
      </w:r>
    </w:p>
    <w:p w14:paraId="07C1D784" w14:textId="77777777" w:rsidR="008023E1" w:rsidRPr="00B14C47" w:rsidRDefault="008023E1" w:rsidP="008023E1">
      <w:pPr>
        <w:rPr>
          <w:rFonts w:ascii="Arial" w:hAnsi="Arial" w:cs="Arial"/>
          <w:sz w:val="20"/>
        </w:rPr>
      </w:pPr>
      <w:r w:rsidRPr="00B14C47">
        <w:rPr>
          <w:rFonts w:ascii="Arial" w:hAnsi="Arial" w:cs="Arial"/>
          <w:sz w:val="20"/>
        </w:rPr>
        <w:t xml:space="preserve">Посредством пасивния метод в отчета за финансовото състояние, отсрочен данък се признава за всички временни разлики между балансовата стойност на активите и пасивите във финансовия отчет на финансовото състояние и съответната данъчна основа, с изключение на репутацията, която не е призната за данъчни цели, както и за временни разлики, възникнали при първоначално признаване на активи и пасиви, които не влияят върху облагаемата или счетоводна печалба. </w:t>
      </w:r>
    </w:p>
    <w:p w14:paraId="32759EF9" w14:textId="77777777" w:rsidR="008023E1" w:rsidRPr="00B14C47" w:rsidRDefault="008023E1" w:rsidP="008023E1">
      <w:pPr>
        <w:rPr>
          <w:rFonts w:ascii="Arial" w:hAnsi="Arial" w:cs="Arial"/>
          <w:sz w:val="20"/>
        </w:rPr>
      </w:pPr>
      <w:r w:rsidRPr="00B14C47">
        <w:rPr>
          <w:rFonts w:ascii="Arial" w:hAnsi="Arial" w:cs="Arial"/>
          <w:sz w:val="20"/>
        </w:rPr>
        <w:t>Отсроченият данък се изчислява по данъчните ставки, които се очаква да бъдат приложими за периода, когато активът се реализира или пасивът се уреди въз основа на данъчните ставки ( и данъчни закони), действащи или влезли в сила, в значителна степен, към датата на баланса.</w:t>
      </w:r>
    </w:p>
    <w:p w14:paraId="65607CE3" w14:textId="77777777" w:rsidR="008023E1" w:rsidRPr="00B14C47" w:rsidRDefault="008023E1" w:rsidP="008023E1">
      <w:pPr>
        <w:rPr>
          <w:rFonts w:ascii="Arial" w:hAnsi="Arial" w:cs="Arial"/>
          <w:sz w:val="20"/>
        </w:rPr>
      </w:pPr>
      <w:r w:rsidRPr="00B14C47">
        <w:rPr>
          <w:rFonts w:ascii="Arial" w:hAnsi="Arial" w:cs="Arial"/>
          <w:sz w:val="20"/>
        </w:rPr>
        <w:t>Активи по отсрочени данъци се признават само до степента, до която  Дружеството счита за вероятно (т.е. е по-вероятно) да е налице облагаема печалба, за да се реализира актив от същата данъчна група (юрисдикция).</w:t>
      </w:r>
    </w:p>
    <w:p w14:paraId="41A406C7" w14:textId="77777777" w:rsidR="008023E1" w:rsidRPr="00B14C47" w:rsidRDefault="008023E1" w:rsidP="008023E1">
      <w:pPr>
        <w:rPr>
          <w:rFonts w:ascii="Arial" w:hAnsi="Arial" w:cs="Arial"/>
          <w:sz w:val="20"/>
        </w:rPr>
      </w:pPr>
      <w:r w:rsidRPr="00B14C47">
        <w:rPr>
          <w:rFonts w:ascii="Arial" w:hAnsi="Arial" w:cs="Arial"/>
          <w:sz w:val="20"/>
        </w:rPr>
        <w:t xml:space="preserve">Отсрочените данъчни активи и пасиви се приспадат само тогава, когато има законово право да приспадат текущи данъчни активи срещу текущи данъчни пасиви и отсрочените данъчни активи и пасиви се отнасят до данъци върху дохода, наложени от един и същ данъчен орган за едно дружество и намерението на  Дружеството е да уреди сумата на нетна база.  </w:t>
      </w:r>
    </w:p>
    <w:p w14:paraId="4CA4D2DD" w14:textId="77777777" w:rsidR="008023E1" w:rsidRPr="00B14C47" w:rsidRDefault="008023E1" w:rsidP="008023E1">
      <w:pPr>
        <w:rPr>
          <w:rFonts w:ascii="Arial" w:hAnsi="Arial" w:cs="Arial"/>
          <w:sz w:val="20"/>
        </w:rPr>
      </w:pPr>
      <w:r w:rsidRPr="00B14C47">
        <w:rPr>
          <w:rFonts w:ascii="Arial" w:hAnsi="Arial" w:cs="Arial"/>
          <w:sz w:val="20"/>
        </w:rPr>
        <w:t>Разходът за данъци за периода, включва текущ и отсрочен данък. Данък се признава в индивидуалния отчет за печалбата или загубата, с изключение на случаите, в които той произтича от сделки или събития, които се признават в друг всеобхватен доход или директно в капитал. В този случай, данъкът се признава в друг всеобхватен доход или съответно директно в собствения капитал. Когато данъкът възниква от първоначалното отчитане на бизнес комбинация, той се включва при осчетоводяването на бизнес комбинацията.</w:t>
      </w:r>
    </w:p>
    <w:p w14:paraId="6A3A4891" w14:textId="77777777" w:rsidR="00B66DF8" w:rsidRPr="00B14C47" w:rsidRDefault="00B66DF8" w:rsidP="00B66DF8">
      <w:pPr>
        <w:rPr>
          <w:rFonts w:ascii="Arial" w:hAnsi="Arial" w:cs="Arial"/>
          <w:sz w:val="20"/>
        </w:rPr>
      </w:pPr>
    </w:p>
    <w:p w14:paraId="58FECC2C" w14:textId="77777777" w:rsidR="00B66DF8" w:rsidRPr="00B14C47" w:rsidRDefault="00B66DF8" w:rsidP="00B66DF8">
      <w:pPr>
        <w:pStyle w:val="Heading3"/>
        <w:spacing w:before="0"/>
        <w:rPr>
          <w:rFonts w:ascii="Arial" w:hAnsi="Arial" w:cs="Arial"/>
          <w:lang w:val="bg-BG"/>
        </w:rPr>
      </w:pPr>
      <w:bookmarkStart w:id="85" w:name="_Toc164268353"/>
      <w:r w:rsidRPr="00B14C47">
        <w:rPr>
          <w:rFonts w:ascii="Arial" w:hAnsi="Arial" w:cs="Arial"/>
          <w:lang w:val="bg-BG"/>
        </w:rPr>
        <w:t>Данък върху добавената стойност (ДДС)</w:t>
      </w:r>
      <w:bookmarkEnd w:id="85"/>
    </w:p>
    <w:p w14:paraId="41EBAA99" w14:textId="77777777" w:rsidR="00165AE3" w:rsidRPr="00B14C47" w:rsidRDefault="00165AE3" w:rsidP="00165AE3">
      <w:pPr>
        <w:rPr>
          <w:rFonts w:ascii="Arial" w:hAnsi="Arial" w:cs="Arial"/>
          <w:bCs/>
          <w:i/>
          <w:spacing w:val="-1"/>
          <w:sz w:val="20"/>
          <w:lang w:val="en-US"/>
        </w:rPr>
      </w:pPr>
      <w:r w:rsidRPr="00B14C47">
        <w:rPr>
          <w:rFonts w:ascii="Arial" w:hAnsi="Arial" w:cs="Arial"/>
          <w:bCs/>
          <w:spacing w:val="-1"/>
          <w:sz w:val="20"/>
          <w:lang w:val="en-US"/>
        </w:rPr>
        <w:t>Приходите, разходите и активите се признават нетно от ДДС, с изключение на случаите, когато:</w:t>
      </w:r>
    </w:p>
    <w:p w14:paraId="08FC77AB" w14:textId="77777777" w:rsidR="00165AE3" w:rsidRPr="00B14C47" w:rsidRDefault="00165AE3" w:rsidP="00165AE3">
      <w:pPr>
        <w:numPr>
          <w:ilvl w:val="0"/>
          <w:numId w:val="1"/>
        </w:numPr>
        <w:rPr>
          <w:rFonts w:ascii="Arial" w:hAnsi="Arial" w:cs="Arial"/>
          <w:bCs/>
          <w:spacing w:val="-1"/>
          <w:sz w:val="20"/>
        </w:rPr>
      </w:pPr>
      <w:r w:rsidRPr="00B14C47">
        <w:rPr>
          <w:rFonts w:ascii="Arial" w:hAnsi="Arial" w:cs="Arial"/>
          <w:bCs/>
          <w:spacing w:val="-1"/>
          <w:sz w:val="20"/>
        </w:rPr>
        <w:t>ДДС, възникващ при покупка на активи или услуги, не е възстановим от данъчните власти, в който случай ДДС се признава като част от цената на придобиване на актива или като част от съответната разходна позиция, както това е приложимо; и</w:t>
      </w:r>
    </w:p>
    <w:p w14:paraId="5887848E" w14:textId="77777777" w:rsidR="00165AE3" w:rsidRPr="00B14C47" w:rsidRDefault="00165AE3" w:rsidP="00165AE3">
      <w:pPr>
        <w:numPr>
          <w:ilvl w:val="0"/>
          <w:numId w:val="1"/>
        </w:numPr>
        <w:rPr>
          <w:rFonts w:ascii="Arial" w:hAnsi="Arial" w:cs="Arial"/>
          <w:bCs/>
          <w:spacing w:val="-1"/>
          <w:sz w:val="20"/>
        </w:rPr>
      </w:pPr>
      <w:r w:rsidRPr="00B14C47">
        <w:rPr>
          <w:rFonts w:ascii="Arial" w:hAnsi="Arial" w:cs="Arial"/>
          <w:bCs/>
          <w:spacing w:val="-1"/>
          <w:sz w:val="20"/>
        </w:rPr>
        <w:t>вземанията и задълженията, които се отчитат с включен ДДС.</w:t>
      </w:r>
    </w:p>
    <w:p w14:paraId="61F52695" w14:textId="77777777" w:rsidR="00165AE3" w:rsidRPr="00B14C47" w:rsidRDefault="00165AE3" w:rsidP="00165AE3">
      <w:pPr>
        <w:rPr>
          <w:rFonts w:ascii="Arial" w:hAnsi="Arial" w:cs="Arial"/>
          <w:bCs/>
          <w:spacing w:val="-1"/>
          <w:sz w:val="20"/>
        </w:rPr>
      </w:pPr>
      <w:r w:rsidRPr="00B14C47">
        <w:rPr>
          <w:rFonts w:ascii="Arial" w:hAnsi="Arial" w:cs="Arial"/>
          <w:bCs/>
          <w:spacing w:val="-1"/>
          <w:sz w:val="20"/>
        </w:rPr>
        <w:t>Нетната сума на ДДС, възстановима от или дължима на данъчните власти се включва в стойността на вземанията или задълженията в индивидуалния отчет за финансовото състояние.</w:t>
      </w:r>
    </w:p>
    <w:p w14:paraId="14D60AA8" w14:textId="77777777" w:rsidR="00B66DF8" w:rsidRPr="00B14C47" w:rsidRDefault="00B66DF8" w:rsidP="00B66DF8">
      <w:pPr>
        <w:rPr>
          <w:rFonts w:ascii="Arial" w:hAnsi="Arial" w:cs="Arial"/>
          <w:b/>
          <w:sz w:val="20"/>
        </w:rPr>
      </w:pPr>
    </w:p>
    <w:p w14:paraId="7263916A" w14:textId="77777777" w:rsidR="00B66DF8" w:rsidRPr="00B14C47" w:rsidRDefault="00B66DF8" w:rsidP="00B66DF8">
      <w:pPr>
        <w:pStyle w:val="Heading2"/>
        <w:spacing w:before="0"/>
        <w:rPr>
          <w:rFonts w:ascii="Arial" w:hAnsi="Arial" w:cs="Arial"/>
          <w:i/>
          <w:sz w:val="20"/>
          <w:szCs w:val="20"/>
          <w:lang w:val="bg-BG"/>
        </w:rPr>
      </w:pPr>
      <w:bookmarkStart w:id="86" w:name="_Toc164268354"/>
      <w:bookmarkStart w:id="87" w:name="_Hlk510711709"/>
      <w:r w:rsidRPr="00B14C47">
        <w:rPr>
          <w:rFonts w:ascii="Arial" w:hAnsi="Arial" w:cs="Arial"/>
          <w:i/>
          <w:sz w:val="20"/>
          <w:szCs w:val="20"/>
          <w:lang w:val="bg-BG"/>
        </w:rPr>
        <w:t>ПРОВИЗИИ</w:t>
      </w:r>
      <w:bookmarkEnd w:id="86"/>
      <w:r w:rsidRPr="00B14C47">
        <w:rPr>
          <w:rFonts w:ascii="Arial" w:hAnsi="Arial" w:cs="Arial"/>
          <w:i/>
          <w:sz w:val="20"/>
          <w:szCs w:val="20"/>
          <w:lang w:val="bg-BG"/>
        </w:rPr>
        <w:t xml:space="preserve"> </w:t>
      </w:r>
    </w:p>
    <w:p w14:paraId="70CE8D29" w14:textId="77777777" w:rsidR="00B66DF8" w:rsidRPr="00B14C47" w:rsidRDefault="00B66DF8" w:rsidP="00B66DF8">
      <w:pPr>
        <w:rPr>
          <w:rFonts w:ascii="Arial" w:hAnsi="Arial" w:cs="Arial"/>
          <w:sz w:val="20"/>
        </w:rPr>
      </w:pPr>
      <w:r w:rsidRPr="00B14C47">
        <w:rPr>
          <w:rFonts w:ascii="Arial" w:hAnsi="Arial" w:cs="Arial"/>
          <w:sz w:val="20"/>
        </w:rPr>
        <w:t xml:space="preserve">Когато на датата на отчитане Дружеството има сегашно задължение (правно или конструктивно), като резултат от минало събитие и е вероятно, че Дружеството ще погаси това задължение, </w:t>
      </w:r>
      <w:bookmarkStart w:id="88" w:name="_Hlk517256351"/>
      <w:r w:rsidRPr="00B14C47">
        <w:rPr>
          <w:rFonts w:ascii="Arial" w:hAnsi="Arial" w:cs="Arial"/>
          <w:sz w:val="20"/>
        </w:rPr>
        <w:t>т.е. ще възникне изходящ паричен поток</w:t>
      </w:r>
      <w:bookmarkEnd w:id="88"/>
      <w:r w:rsidRPr="00B14C47">
        <w:rPr>
          <w:rFonts w:ascii="Arial" w:hAnsi="Arial" w:cs="Arial"/>
          <w:sz w:val="20"/>
        </w:rPr>
        <w:t>, се прави провизия в отчета за финансовото състояние. Провизии се правят като се използва най-добрата приблизителна оценка на сумата, която ще е необходима за погасяване на задължението и се дисконтират до сегашна стойност с помощта на дисконтов процент (преди данъци), който отразява текущите пазарни оценки на стойността на парите във времето и специфичните за задължението рискове. Промените в приблизителните оценки се отразяват в отчета за печалбата или загубата и другия всеобхватен доход през периода, в който възникват. Провизиите по гаранции се измерват с помощта на вероятностни модели, базирани на минал опит. Провизиите за преструктуриране се признават само след като засегнатите страни са били информирани за формалния план за преструктуриране.</w:t>
      </w:r>
    </w:p>
    <w:bookmarkEnd w:id="87"/>
    <w:p w14:paraId="3F0A4F43" w14:textId="77777777" w:rsidR="00B66DF8" w:rsidRPr="00B14C47" w:rsidRDefault="00B66DF8" w:rsidP="00B66DF8">
      <w:pPr>
        <w:rPr>
          <w:rFonts w:ascii="Arial" w:hAnsi="Arial" w:cs="Arial"/>
          <w:sz w:val="20"/>
        </w:rPr>
      </w:pPr>
    </w:p>
    <w:p w14:paraId="098F9070" w14:textId="77777777" w:rsidR="00B66DF8" w:rsidRPr="00B14C47" w:rsidRDefault="00B66DF8" w:rsidP="00B66DF8">
      <w:pPr>
        <w:pStyle w:val="Heading2"/>
        <w:spacing w:before="0"/>
        <w:rPr>
          <w:rFonts w:ascii="Arial" w:hAnsi="Arial" w:cs="Arial"/>
          <w:i/>
          <w:sz w:val="20"/>
          <w:szCs w:val="20"/>
          <w:lang w:val="bg-BG"/>
        </w:rPr>
      </w:pPr>
      <w:bookmarkStart w:id="89" w:name="_Toc164268355"/>
      <w:r w:rsidRPr="00B14C47">
        <w:rPr>
          <w:rFonts w:ascii="Arial" w:hAnsi="Arial" w:cs="Arial"/>
          <w:i/>
          <w:sz w:val="20"/>
          <w:szCs w:val="20"/>
          <w:lang w:val="bg-BG"/>
        </w:rPr>
        <w:t>КАПИТАЛ</w:t>
      </w:r>
      <w:bookmarkEnd w:id="89"/>
    </w:p>
    <w:p w14:paraId="63A4DD05" w14:textId="77777777" w:rsidR="00B66DF8" w:rsidRPr="00B14C47" w:rsidRDefault="00DA34F0" w:rsidP="00B66DF8">
      <w:pPr>
        <w:rPr>
          <w:rFonts w:ascii="Arial" w:hAnsi="Arial" w:cs="Arial"/>
          <w:sz w:val="20"/>
          <w:lang w:val="en-US"/>
        </w:rPr>
      </w:pPr>
      <w:r w:rsidRPr="00B14C47">
        <w:rPr>
          <w:rFonts w:ascii="Arial" w:hAnsi="Arial" w:cs="Arial"/>
          <w:sz w:val="20"/>
        </w:rPr>
        <w:t>Капиталовите инструменти са договори, които пораждат остатъчен интерес в нетните активи на Дружеството. Обикновените акции се класифицират като капитал. Капиталовите инструменти се признават по сумата на получените постъпления, нетно от разходите, пряко свързани с транзакцията. Доколкото тези постъпления превишават номиналната стойност на емитирани акции, те се кредитират по сметка премиен резерв</w:t>
      </w:r>
    </w:p>
    <w:p w14:paraId="46BFFBD5" w14:textId="77777777" w:rsidR="00DA34F0" w:rsidRPr="00B14C47" w:rsidRDefault="00DA34F0" w:rsidP="00B66DF8">
      <w:pPr>
        <w:rPr>
          <w:rFonts w:ascii="Arial" w:hAnsi="Arial" w:cs="Arial"/>
          <w:sz w:val="20"/>
          <w:lang w:val="en-US"/>
        </w:rPr>
      </w:pPr>
    </w:p>
    <w:p w14:paraId="4E2CED40" w14:textId="77777777" w:rsidR="00B66DF8" w:rsidRPr="00B14C47" w:rsidRDefault="00B66DF8" w:rsidP="00B66DF8">
      <w:pPr>
        <w:pStyle w:val="Heading3"/>
        <w:spacing w:before="0"/>
        <w:rPr>
          <w:rFonts w:ascii="Arial" w:hAnsi="Arial" w:cs="Arial"/>
          <w:lang w:val="bg-BG"/>
        </w:rPr>
      </w:pPr>
      <w:bookmarkStart w:id="90" w:name="_Toc96871879"/>
      <w:bookmarkStart w:id="91" w:name="_Toc164268356"/>
      <w:r w:rsidRPr="00B14C47">
        <w:rPr>
          <w:rFonts w:ascii="Arial" w:hAnsi="Arial" w:cs="Arial"/>
          <w:lang w:val="bg-BG"/>
        </w:rPr>
        <w:t>Разпределяне на дивидент</w:t>
      </w:r>
      <w:bookmarkEnd w:id="90"/>
      <w:bookmarkEnd w:id="91"/>
    </w:p>
    <w:p w14:paraId="2C96860B" w14:textId="77777777" w:rsidR="008F4931" w:rsidRPr="00B14C47" w:rsidRDefault="008F4931" w:rsidP="008F4931">
      <w:pPr>
        <w:rPr>
          <w:rFonts w:ascii="Arial" w:hAnsi="Arial" w:cs="Arial"/>
          <w:sz w:val="20"/>
        </w:rPr>
      </w:pPr>
      <w:r w:rsidRPr="00B14C47">
        <w:rPr>
          <w:rFonts w:ascii="Arial" w:hAnsi="Arial" w:cs="Arial"/>
          <w:sz w:val="20"/>
        </w:rPr>
        <w:t>Дивидентите се признават като пасив, когато те са декларирани (т.е. дивидентите са разрешени по съответния начин и вече не са в обхвата на преценка на юридическото лице). Обикновено дивиденти се признават като пасив в периода, в който е одобрено тяхното разпределение по време на годишното общото събрание на акционерите. Междинните дивиденти се признават, когато се изплащат.</w:t>
      </w:r>
    </w:p>
    <w:p w14:paraId="25A12D03" w14:textId="77777777" w:rsidR="00B66DF8" w:rsidRPr="00B14C47" w:rsidRDefault="00B66DF8" w:rsidP="00B66DF8">
      <w:pPr>
        <w:rPr>
          <w:rFonts w:ascii="Arial" w:hAnsi="Arial" w:cs="Arial"/>
          <w:sz w:val="20"/>
        </w:rPr>
      </w:pPr>
    </w:p>
    <w:p w14:paraId="33489DD6" w14:textId="77777777" w:rsidR="00B66DF8" w:rsidRPr="00B14C47" w:rsidRDefault="00B66DF8" w:rsidP="00B66DF8">
      <w:pPr>
        <w:pStyle w:val="Heading3"/>
        <w:spacing w:before="0"/>
        <w:rPr>
          <w:rFonts w:ascii="Arial" w:hAnsi="Arial" w:cs="Arial"/>
          <w:lang w:val="bg-BG"/>
        </w:rPr>
      </w:pPr>
      <w:bookmarkStart w:id="92" w:name="_Toc96871880"/>
      <w:bookmarkStart w:id="93" w:name="_Toc164268357"/>
      <w:r w:rsidRPr="00B14C47">
        <w:rPr>
          <w:rFonts w:ascii="Arial" w:hAnsi="Arial" w:cs="Arial"/>
          <w:lang w:val="bg-BG"/>
        </w:rPr>
        <w:t>Собствени акции</w:t>
      </w:r>
      <w:bookmarkEnd w:id="92"/>
      <w:bookmarkEnd w:id="93"/>
    </w:p>
    <w:p w14:paraId="03DBFB1B" w14:textId="77777777" w:rsidR="00B66DF8" w:rsidRPr="00B14C47" w:rsidRDefault="00B66DF8" w:rsidP="00B66DF8">
      <w:pPr>
        <w:rPr>
          <w:rFonts w:ascii="Arial" w:hAnsi="Arial" w:cs="Arial"/>
          <w:sz w:val="20"/>
        </w:rPr>
      </w:pPr>
      <w:r w:rsidRPr="00B14C47">
        <w:rPr>
          <w:rFonts w:ascii="Arial" w:hAnsi="Arial" w:cs="Arial"/>
          <w:sz w:val="20"/>
        </w:rPr>
        <w:t xml:space="preserve">Разходите за закупените собствени акции се представят като намаление в собствения капитал в отчета за финансовото състояние. Когато собствените акции се продават или преиздават, те се кредитират в капитала. В резултат на това, печалби или загуби от собствени акции не се включват в </w:t>
      </w:r>
      <w:r w:rsidR="00FB19ED" w:rsidRPr="00B14C47">
        <w:rPr>
          <w:rFonts w:ascii="Arial" w:hAnsi="Arial" w:cs="Arial"/>
          <w:sz w:val="20"/>
        </w:rPr>
        <w:t xml:space="preserve">индивидуалния </w:t>
      </w:r>
      <w:r w:rsidRPr="00B14C47">
        <w:rPr>
          <w:rFonts w:ascii="Arial" w:hAnsi="Arial" w:cs="Arial"/>
          <w:sz w:val="20"/>
        </w:rPr>
        <w:t>отчет за печалбата или загубата и другия всеобхватен доход.</w:t>
      </w:r>
    </w:p>
    <w:p w14:paraId="293CDE8D" w14:textId="77777777" w:rsidR="00B66DF8" w:rsidRPr="00B14C47" w:rsidRDefault="00B66DF8" w:rsidP="00B66DF8">
      <w:pPr>
        <w:rPr>
          <w:rFonts w:ascii="Arial" w:hAnsi="Arial" w:cs="Arial"/>
          <w:sz w:val="20"/>
        </w:rPr>
      </w:pPr>
    </w:p>
    <w:p w14:paraId="1F32935A" w14:textId="77777777" w:rsidR="00B66DF8" w:rsidRPr="00B14C47" w:rsidRDefault="00B66DF8" w:rsidP="00B66DF8">
      <w:pPr>
        <w:pStyle w:val="Heading2"/>
        <w:spacing w:before="0"/>
        <w:rPr>
          <w:rFonts w:ascii="Arial" w:hAnsi="Arial" w:cs="Arial"/>
          <w:i/>
          <w:sz w:val="20"/>
          <w:szCs w:val="20"/>
          <w:lang w:val="bg-BG"/>
        </w:rPr>
      </w:pPr>
      <w:bookmarkStart w:id="94" w:name="_Toc164268358"/>
      <w:r w:rsidRPr="00B14C47">
        <w:rPr>
          <w:rFonts w:ascii="Arial" w:hAnsi="Arial" w:cs="Arial"/>
          <w:i/>
          <w:sz w:val="20"/>
          <w:szCs w:val="20"/>
          <w:lang w:val="bg-BG"/>
        </w:rPr>
        <w:t>ОПРЕДЕЛЯНЕ НА СПРАВЕДЛИВА СТОЙНОСТ</w:t>
      </w:r>
      <w:bookmarkEnd w:id="94"/>
    </w:p>
    <w:p w14:paraId="724BAC26" w14:textId="77777777" w:rsidR="00F8561C" w:rsidRPr="00B14C47" w:rsidRDefault="00F8561C" w:rsidP="00F8561C">
      <w:pPr>
        <w:rPr>
          <w:rFonts w:ascii="Arial" w:hAnsi="Arial" w:cs="Arial"/>
          <w:bCs/>
          <w:sz w:val="20"/>
        </w:rPr>
      </w:pPr>
      <w:r w:rsidRPr="00B14C47">
        <w:rPr>
          <w:rFonts w:ascii="Arial" w:hAnsi="Arial" w:cs="Arial"/>
          <w:bCs/>
          <w:sz w:val="20"/>
        </w:rPr>
        <w:t>Справедлива стойност е: "Цената, която би била получена при продажба на даден актив или платена при прехвърлянето на задължение при обичайна сделка между пазарни участници към датата на оценката"</w:t>
      </w:r>
    </w:p>
    <w:p w14:paraId="5C182072" w14:textId="77777777" w:rsidR="00F8561C" w:rsidRPr="00B14C47" w:rsidRDefault="00F8561C" w:rsidP="00F8561C">
      <w:pPr>
        <w:rPr>
          <w:rFonts w:ascii="Arial" w:hAnsi="Arial" w:cs="Arial"/>
          <w:bCs/>
          <w:i/>
          <w:sz w:val="20"/>
        </w:rPr>
      </w:pPr>
    </w:p>
    <w:p w14:paraId="24A18BF5" w14:textId="77777777" w:rsidR="00F8561C" w:rsidRPr="00B14C47" w:rsidRDefault="00F8561C" w:rsidP="00F8561C">
      <w:pPr>
        <w:rPr>
          <w:rFonts w:ascii="Arial" w:hAnsi="Arial" w:cs="Arial"/>
          <w:bCs/>
          <w:sz w:val="20"/>
        </w:rPr>
      </w:pPr>
      <w:r w:rsidRPr="00B14C47">
        <w:rPr>
          <w:rFonts w:ascii="Arial" w:hAnsi="Arial" w:cs="Arial"/>
          <w:bCs/>
          <w:sz w:val="20"/>
        </w:rPr>
        <w:t>Справедливата стойност при първоначално признаване като цяло се равнява на цената на сделката освен в случаите, в които:</w:t>
      </w:r>
      <w:r w:rsidRPr="00B14C47">
        <w:rPr>
          <w:rFonts w:ascii="Arial" w:hAnsi="Arial" w:cs="Arial"/>
          <w:bCs/>
          <w:sz w:val="20"/>
        </w:rPr>
        <w:tab/>
      </w:r>
    </w:p>
    <w:p w14:paraId="648307F9" w14:textId="77777777" w:rsidR="00F8561C" w:rsidRPr="00B14C47" w:rsidRDefault="00F8561C" w:rsidP="00057C67">
      <w:pPr>
        <w:numPr>
          <w:ilvl w:val="0"/>
          <w:numId w:val="10"/>
        </w:numPr>
        <w:rPr>
          <w:rFonts w:ascii="Arial" w:hAnsi="Arial" w:cs="Arial"/>
          <w:bCs/>
          <w:sz w:val="20"/>
        </w:rPr>
      </w:pPr>
      <w:r w:rsidRPr="00B14C47">
        <w:rPr>
          <w:rFonts w:ascii="Arial" w:hAnsi="Arial" w:cs="Arial"/>
          <w:bCs/>
          <w:sz w:val="20"/>
        </w:rPr>
        <w:t>Сделката е между свързани лица</w:t>
      </w:r>
    </w:p>
    <w:p w14:paraId="11D5D0B9" w14:textId="77777777" w:rsidR="00F8561C" w:rsidRPr="00B14C47" w:rsidRDefault="00F8561C" w:rsidP="00057C67">
      <w:pPr>
        <w:numPr>
          <w:ilvl w:val="0"/>
          <w:numId w:val="10"/>
        </w:numPr>
        <w:rPr>
          <w:rFonts w:ascii="Arial" w:hAnsi="Arial" w:cs="Arial"/>
          <w:bCs/>
          <w:sz w:val="20"/>
        </w:rPr>
      </w:pPr>
      <w:r w:rsidRPr="00B14C47">
        <w:rPr>
          <w:rFonts w:ascii="Arial" w:hAnsi="Arial" w:cs="Arial"/>
          <w:bCs/>
          <w:sz w:val="20"/>
        </w:rPr>
        <w:t>Сделката е сключена по принуда или при форсмажорни обстоятелства</w:t>
      </w:r>
    </w:p>
    <w:p w14:paraId="52B506F2" w14:textId="77777777" w:rsidR="00F8561C" w:rsidRPr="00B14C47" w:rsidRDefault="00F8561C" w:rsidP="00057C67">
      <w:pPr>
        <w:numPr>
          <w:ilvl w:val="0"/>
          <w:numId w:val="10"/>
        </w:numPr>
        <w:rPr>
          <w:rFonts w:ascii="Arial" w:hAnsi="Arial" w:cs="Arial"/>
          <w:bCs/>
          <w:sz w:val="20"/>
        </w:rPr>
      </w:pPr>
      <w:r w:rsidRPr="00B14C47">
        <w:rPr>
          <w:rFonts w:ascii="Arial" w:hAnsi="Arial" w:cs="Arial"/>
          <w:bCs/>
          <w:sz w:val="20"/>
        </w:rPr>
        <w:t>Пазарът на който се е случила сделката е различен от основния или най-изгодния пазар</w:t>
      </w:r>
    </w:p>
    <w:p w14:paraId="05D86588" w14:textId="77777777" w:rsidR="00F8561C" w:rsidRPr="00B14C47" w:rsidRDefault="00F8561C" w:rsidP="00057C67">
      <w:pPr>
        <w:numPr>
          <w:ilvl w:val="0"/>
          <w:numId w:val="10"/>
        </w:numPr>
        <w:rPr>
          <w:rFonts w:ascii="Arial" w:hAnsi="Arial" w:cs="Arial"/>
          <w:bCs/>
          <w:sz w:val="20"/>
        </w:rPr>
      </w:pPr>
      <w:r w:rsidRPr="00B14C47">
        <w:rPr>
          <w:rFonts w:ascii="Arial" w:hAnsi="Arial" w:cs="Arial"/>
          <w:bCs/>
          <w:sz w:val="20"/>
        </w:rPr>
        <w:t>Разчетната единица, представена от цената на сделката, се различава от отчетната единица за актива или пасива, който се оценява по справедлива стойност</w:t>
      </w:r>
    </w:p>
    <w:p w14:paraId="59BBD04C" w14:textId="77777777" w:rsidR="00F8561C" w:rsidRPr="00B14C47" w:rsidRDefault="00F8561C" w:rsidP="00F8561C">
      <w:pPr>
        <w:rPr>
          <w:rFonts w:ascii="Arial" w:hAnsi="Arial" w:cs="Arial"/>
          <w:bCs/>
          <w:sz w:val="20"/>
        </w:rPr>
      </w:pPr>
      <w:r w:rsidRPr="00B14C47">
        <w:rPr>
          <w:rFonts w:ascii="Arial" w:hAnsi="Arial" w:cs="Arial"/>
          <w:bCs/>
          <w:sz w:val="20"/>
        </w:rPr>
        <w:t>Определяне на справедлива стойност при пазари с ниско ниво на активност</w:t>
      </w:r>
    </w:p>
    <w:p w14:paraId="1532CECD" w14:textId="77777777" w:rsidR="00F8561C" w:rsidRPr="00B14C47" w:rsidRDefault="00F8561C" w:rsidP="00F8561C">
      <w:pPr>
        <w:rPr>
          <w:rFonts w:ascii="Arial" w:hAnsi="Arial" w:cs="Arial"/>
          <w:bCs/>
          <w:i/>
          <w:sz w:val="20"/>
        </w:rPr>
      </w:pPr>
      <w:r w:rsidRPr="00B14C47">
        <w:rPr>
          <w:rFonts w:ascii="Arial" w:hAnsi="Arial" w:cs="Arial"/>
          <w:bCs/>
          <w:sz w:val="20"/>
        </w:rPr>
        <w:t>При пазари с ниско ниво на активност:</w:t>
      </w:r>
    </w:p>
    <w:p w14:paraId="5934441F" w14:textId="77777777" w:rsidR="00F8561C" w:rsidRPr="00B14C47" w:rsidRDefault="00F8561C" w:rsidP="00057C67">
      <w:pPr>
        <w:numPr>
          <w:ilvl w:val="0"/>
          <w:numId w:val="11"/>
        </w:numPr>
        <w:rPr>
          <w:rFonts w:ascii="Arial" w:hAnsi="Arial" w:cs="Arial"/>
          <w:bCs/>
          <w:sz w:val="20"/>
        </w:rPr>
      </w:pPr>
      <w:r w:rsidRPr="00B14C47">
        <w:rPr>
          <w:rFonts w:ascii="Arial" w:hAnsi="Arial" w:cs="Arial"/>
          <w:bCs/>
          <w:sz w:val="20"/>
        </w:rPr>
        <w:t>Определянето на справедлива стойност зависи от фактите, обстоятелствата и характеристите на пазара и изисква значителна преценка от страна на оценителя</w:t>
      </w:r>
    </w:p>
    <w:p w14:paraId="45263533" w14:textId="77777777" w:rsidR="00F8561C" w:rsidRPr="00B14C47" w:rsidRDefault="00F8561C" w:rsidP="00057C67">
      <w:pPr>
        <w:numPr>
          <w:ilvl w:val="0"/>
          <w:numId w:val="11"/>
        </w:numPr>
        <w:rPr>
          <w:rFonts w:ascii="Arial" w:hAnsi="Arial" w:cs="Arial"/>
          <w:bCs/>
          <w:sz w:val="20"/>
        </w:rPr>
      </w:pPr>
      <w:r w:rsidRPr="00B14C47">
        <w:rPr>
          <w:rFonts w:ascii="Arial" w:hAnsi="Arial" w:cs="Arial"/>
          <w:bCs/>
          <w:sz w:val="20"/>
        </w:rPr>
        <w:t>Сделките и котировките могат да не са представителни за определяне на справедлива стойност</w:t>
      </w:r>
    </w:p>
    <w:p w14:paraId="65D3BA7E" w14:textId="77777777" w:rsidR="00F8561C" w:rsidRPr="00B14C47" w:rsidRDefault="00F8561C" w:rsidP="00057C67">
      <w:pPr>
        <w:numPr>
          <w:ilvl w:val="0"/>
          <w:numId w:val="11"/>
        </w:numPr>
        <w:rPr>
          <w:rFonts w:ascii="Arial" w:hAnsi="Arial" w:cs="Arial"/>
          <w:bCs/>
          <w:sz w:val="20"/>
        </w:rPr>
      </w:pPr>
      <w:r w:rsidRPr="00B14C47">
        <w:rPr>
          <w:rFonts w:ascii="Arial" w:hAnsi="Arial" w:cs="Arial"/>
          <w:bCs/>
          <w:sz w:val="20"/>
        </w:rPr>
        <w:t>Необходим е допълнителен анализ върху сделките и котировките. Ако е необходимо те могат да бъдат коригирани, за да дават по-ясна картина при определянето на справедливата стойност</w:t>
      </w:r>
    </w:p>
    <w:p w14:paraId="06A6733B" w14:textId="77777777" w:rsidR="00F8561C" w:rsidRPr="00B14C47" w:rsidRDefault="00F8561C" w:rsidP="00F8561C">
      <w:pPr>
        <w:rPr>
          <w:rFonts w:ascii="Arial" w:hAnsi="Arial" w:cs="Arial"/>
          <w:bCs/>
          <w:sz w:val="20"/>
        </w:rPr>
      </w:pPr>
      <w:r w:rsidRPr="00B14C47">
        <w:rPr>
          <w:rFonts w:ascii="Arial" w:hAnsi="Arial" w:cs="Arial"/>
          <w:bCs/>
          <w:sz w:val="20"/>
        </w:rPr>
        <w:t>Вземат се предвид характеристиките на активен пазар, който участник на пазара ще вземе предвид на датата на оценката, като:</w:t>
      </w:r>
    </w:p>
    <w:p w14:paraId="3A9F50C9" w14:textId="77777777" w:rsidR="00F8561C" w:rsidRPr="00B14C47" w:rsidRDefault="00F8561C" w:rsidP="00057C67">
      <w:pPr>
        <w:numPr>
          <w:ilvl w:val="0"/>
          <w:numId w:val="9"/>
        </w:numPr>
        <w:rPr>
          <w:rFonts w:ascii="Arial" w:hAnsi="Arial" w:cs="Arial"/>
          <w:bCs/>
          <w:sz w:val="20"/>
        </w:rPr>
      </w:pPr>
      <w:r w:rsidRPr="00B14C47">
        <w:rPr>
          <w:rFonts w:ascii="Arial" w:hAnsi="Arial" w:cs="Arial"/>
          <w:bCs/>
          <w:sz w:val="20"/>
        </w:rPr>
        <w:t>Предполага уговорена сделка между участниците на пазара към датата на оценяване по текущите пазарни условия</w:t>
      </w:r>
    </w:p>
    <w:p w14:paraId="0CEB0B42" w14:textId="77777777" w:rsidR="00F8561C" w:rsidRPr="00B14C47" w:rsidRDefault="00F8561C" w:rsidP="00057C67">
      <w:pPr>
        <w:numPr>
          <w:ilvl w:val="0"/>
          <w:numId w:val="9"/>
        </w:numPr>
        <w:rPr>
          <w:rFonts w:ascii="Arial" w:hAnsi="Arial" w:cs="Arial"/>
          <w:bCs/>
          <w:sz w:val="20"/>
        </w:rPr>
      </w:pPr>
      <w:r w:rsidRPr="00B14C47">
        <w:rPr>
          <w:rFonts w:ascii="Arial" w:hAnsi="Arial" w:cs="Arial"/>
          <w:bCs/>
          <w:sz w:val="20"/>
        </w:rPr>
        <w:t>Предполага сделката да бъди извършена на основния пазар, в противен случай на най-изгодния пазар</w:t>
      </w:r>
    </w:p>
    <w:p w14:paraId="301BAD75" w14:textId="77777777" w:rsidR="00F8561C" w:rsidRPr="00B14C47" w:rsidRDefault="00F8561C" w:rsidP="00057C67">
      <w:pPr>
        <w:numPr>
          <w:ilvl w:val="0"/>
          <w:numId w:val="9"/>
        </w:numPr>
        <w:rPr>
          <w:rFonts w:ascii="Arial" w:hAnsi="Arial" w:cs="Arial"/>
          <w:bCs/>
          <w:sz w:val="20"/>
        </w:rPr>
      </w:pPr>
      <w:r w:rsidRPr="00B14C47">
        <w:rPr>
          <w:rFonts w:ascii="Arial" w:hAnsi="Arial" w:cs="Arial"/>
          <w:bCs/>
          <w:sz w:val="20"/>
        </w:rPr>
        <w:t>За нефинансов актив се взема предвид неговата най-ефективна или висока употреба</w:t>
      </w:r>
    </w:p>
    <w:p w14:paraId="30DA2A1C" w14:textId="77777777" w:rsidR="00F8561C" w:rsidRPr="00B14C47" w:rsidRDefault="00F8561C" w:rsidP="00057C67">
      <w:pPr>
        <w:numPr>
          <w:ilvl w:val="0"/>
          <w:numId w:val="9"/>
        </w:numPr>
        <w:rPr>
          <w:rFonts w:ascii="Arial" w:hAnsi="Arial" w:cs="Arial"/>
          <w:bCs/>
          <w:sz w:val="20"/>
        </w:rPr>
      </w:pPr>
      <w:r w:rsidRPr="00B14C47">
        <w:rPr>
          <w:rFonts w:ascii="Arial" w:hAnsi="Arial" w:cs="Arial"/>
          <w:bCs/>
          <w:sz w:val="20"/>
        </w:rPr>
        <w:t>За пасив отразява риска при неизпълнение, включително собствения кредитен риск</w:t>
      </w:r>
    </w:p>
    <w:p w14:paraId="3C8E4E63" w14:textId="77777777" w:rsidR="00F8561C" w:rsidRPr="00B14C47" w:rsidRDefault="00F8561C" w:rsidP="00F8561C">
      <w:pPr>
        <w:rPr>
          <w:rFonts w:ascii="Arial" w:hAnsi="Arial" w:cs="Arial"/>
          <w:bCs/>
          <w:sz w:val="20"/>
        </w:rPr>
      </w:pPr>
      <w:r w:rsidRPr="00B14C47">
        <w:rPr>
          <w:rFonts w:ascii="Arial" w:hAnsi="Arial" w:cs="Arial"/>
          <w:bCs/>
          <w:sz w:val="20"/>
        </w:rPr>
        <w:t>Използване с цел максимизиране на стойността, е онова използване на актив, от пазарните участници, което максимизира стойността на актива, и което е:</w:t>
      </w:r>
    </w:p>
    <w:p w14:paraId="3A61FA1E" w14:textId="77777777" w:rsidR="00F8561C" w:rsidRPr="00B14C47" w:rsidRDefault="00F8561C" w:rsidP="00057C67">
      <w:pPr>
        <w:numPr>
          <w:ilvl w:val="1"/>
          <w:numId w:val="9"/>
        </w:numPr>
        <w:rPr>
          <w:rFonts w:ascii="Arial" w:hAnsi="Arial" w:cs="Arial"/>
          <w:bCs/>
          <w:sz w:val="20"/>
        </w:rPr>
      </w:pPr>
      <w:r w:rsidRPr="00B14C47">
        <w:rPr>
          <w:rFonts w:ascii="Arial" w:hAnsi="Arial" w:cs="Arial"/>
          <w:bCs/>
          <w:sz w:val="20"/>
        </w:rPr>
        <w:t>Физически възможно</w:t>
      </w:r>
    </w:p>
    <w:p w14:paraId="5BC515AE" w14:textId="77777777" w:rsidR="00F8561C" w:rsidRPr="00B14C47" w:rsidRDefault="00F8561C" w:rsidP="00057C67">
      <w:pPr>
        <w:numPr>
          <w:ilvl w:val="1"/>
          <w:numId w:val="9"/>
        </w:numPr>
        <w:rPr>
          <w:rFonts w:ascii="Arial" w:hAnsi="Arial" w:cs="Arial"/>
          <w:bCs/>
          <w:sz w:val="20"/>
        </w:rPr>
      </w:pPr>
      <w:r w:rsidRPr="00B14C47">
        <w:rPr>
          <w:rFonts w:ascii="Arial" w:hAnsi="Arial" w:cs="Arial"/>
          <w:bCs/>
          <w:sz w:val="20"/>
        </w:rPr>
        <w:t>Правно допустимо</w:t>
      </w:r>
    </w:p>
    <w:p w14:paraId="32DDAAAC" w14:textId="77777777" w:rsidR="00F8561C" w:rsidRPr="00B14C47" w:rsidRDefault="00F8561C" w:rsidP="00057C67">
      <w:pPr>
        <w:numPr>
          <w:ilvl w:val="1"/>
          <w:numId w:val="9"/>
        </w:numPr>
        <w:rPr>
          <w:rFonts w:ascii="Arial" w:hAnsi="Arial" w:cs="Arial"/>
          <w:bCs/>
          <w:sz w:val="20"/>
        </w:rPr>
      </w:pPr>
      <w:r w:rsidRPr="00B14C47">
        <w:rPr>
          <w:rFonts w:ascii="Arial" w:hAnsi="Arial" w:cs="Arial"/>
          <w:bCs/>
          <w:sz w:val="20"/>
        </w:rPr>
        <w:t>Финансово осъществимо</w:t>
      </w:r>
    </w:p>
    <w:p w14:paraId="7CE968FD" w14:textId="77777777" w:rsidR="00F8561C" w:rsidRPr="00B14C47" w:rsidRDefault="00F8561C" w:rsidP="00F8561C">
      <w:pPr>
        <w:rPr>
          <w:rFonts w:ascii="Arial" w:hAnsi="Arial" w:cs="Arial"/>
          <w:bCs/>
          <w:sz w:val="20"/>
        </w:rPr>
      </w:pPr>
      <w:r w:rsidRPr="00B14C47">
        <w:rPr>
          <w:rFonts w:ascii="Arial" w:hAnsi="Arial" w:cs="Arial"/>
          <w:bCs/>
          <w:sz w:val="20"/>
        </w:rPr>
        <w:t>Използването с цел максимизиране на стойността обикновено е идентично с (но не винаги) текущата употреба</w:t>
      </w:r>
      <w:r w:rsidR="00E76218" w:rsidRPr="00B14C47">
        <w:rPr>
          <w:rFonts w:ascii="Arial" w:hAnsi="Arial" w:cs="Arial"/>
          <w:bCs/>
          <w:sz w:val="20"/>
        </w:rPr>
        <w:t>.</w:t>
      </w:r>
    </w:p>
    <w:p w14:paraId="216DB051" w14:textId="77777777" w:rsidR="00F8561C" w:rsidRPr="00B14C47" w:rsidRDefault="00F8561C" w:rsidP="00F8561C">
      <w:pPr>
        <w:rPr>
          <w:rFonts w:ascii="Arial" w:hAnsi="Arial" w:cs="Arial"/>
          <w:bCs/>
          <w:sz w:val="20"/>
        </w:rPr>
      </w:pPr>
    </w:p>
    <w:p w14:paraId="0811D764" w14:textId="77777777" w:rsidR="00F8561C" w:rsidRPr="00B14C47" w:rsidRDefault="00F8561C" w:rsidP="00F8561C">
      <w:pPr>
        <w:rPr>
          <w:rFonts w:ascii="Arial" w:hAnsi="Arial" w:cs="Arial"/>
          <w:bCs/>
          <w:sz w:val="20"/>
        </w:rPr>
      </w:pPr>
      <w:r w:rsidRPr="00B14C47">
        <w:rPr>
          <w:rFonts w:ascii="Arial" w:hAnsi="Arial" w:cs="Arial"/>
          <w:bCs/>
          <w:sz w:val="20"/>
        </w:rPr>
        <w:t>Ако няма основен пазар, изходната  сделка се извършва в най-изгодния пазар, т.е. на пазара, които максимизира сумата, която ще се получи  при продажбата на актива и свежда до минимум на сумата, която би била платена за прехвърляне на пасива (най-ликвидния пазар за Активи/Пасиви)</w:t>
      </w:r>
    </w:p>
    <w:p w14:paraId="2F80C124" w14:textId="77777777" w:rsidR="00F8561C" w:rsidRPr="00B14C47" w:rsidRDefault="00F8561C" w:rsidP="00F8561C">
      <w:pPr>
        <w:rPr>
          <w:rFonts w:ascii="Arial" w:hAnsi="Arial" w:cs="Arial"/>
          <w:bCs/>
          <w:sz w:val="20"/>
        </w:rPr>
      </w:pPr>
    </w:p>
    <w:p w14:paraId="797E4330" w14:textId="77777777" w:rsidR="00F8561C" w:rsidRPr="00B14C47" w:rsidRDefault="00F8561C" w:rsidP="00F8561C">
      <w:pPr>
        <w:rPr>
          <w:rFonts w:ascii="Arial" w:hAnsi="Arial" w:cs="Arial"/>
          <w:bCs/>
          <w:sz w:val="20"/>
        </w:rPr>
      </w:pPr>
      <w:r w:rsidRPr="00B14C47">
        <w:rPr>
          <w:rFonts w:ascii="Arial" w:hAnsi="Arial" w:cs="Arial"/>
          <w:bCs/>
          <w:sz w:val="20"/>
        </w:rPr>
        <w:t>Основните и най-изгодните пазари са едни и същи в повечето случаи</w:t>
      </w:r>
    </w:p>
    <w:p w14:paraId="7BE482B8" w14:textId="77777777" w:rsidR="00F8561C" w:rsidRPr="00B14C47" w:rsidRDefault="00F8561C" w:rsidP="00F8561C">
      <w:pPr>
        <w:rPr>
          <w:rFonts w:ascii="Arial" w:hAnsi="Arial" w:cs="Arial"/>
          <w:bCs/>
          <w:sz w:val="20"/>
        </w:rPr>
      </w:pPr>
      <w:r w:rsidRPr="00B14C47">
        <w:rPr>
          <w:rFonts w:ascii="Arial" w:hAnsi="Arial" w:cs="Arial"/>
          <w:bCs/>
          <w:sz w:val="20"/>
        </w:rPr>
        <w:t>Премии/отстъпки се съдържат във Справедливата Стойност(СС), ако те отразяват характеристика на актива/пасива, която участниците на пазара ще вземат предвид при сделка с активен пазар.</w:t>
      </w:r>
    </w:p>
    <w:p w14:paraId="0877B778" w14:textId="77777777" w:rsidR="00F8561C" w:rsidRPr="00B14C47" w:rsidRDefault="00F8561C" w:rsidP="00F8561C">
      <w:pPr>
        <w:rPr>
          <w:rFonts w:ascii="Arial" w:hAnsi="Arial" w:cs="Arial"/>
          <w:bCs/>
          <w:sz w:val="20"/>
        </w:rPr>
      </w:pPr>
      <w:r w:rsidRPr="00B14C47">
        <w:rPr>
          <w:rFonts w:ascii="Arial" w:hAnsi="Arial" w:cs="Arial"/>
          <w:bCs/>
          <w:sz w:val="20"/>
          <w:lang w:val="ru-RU"/>
        </w:rPr>
        <w:t xml:space="preserve">Прилагането на </w:t>
      </w:r>
      <w:r w:rsidRPr="00B14C47">
        <w:rPr>
          <w:rFonts w:ascii="Arial" w:hAnsi="Arial" w:cs="Arial"/>
          <w:bCs/>
          <w:i/>
          <w:iCs/>
          <w:sz w:val="20"/>
          <w:lang w:val="ru-RU"/>
        </w:rPr>
        <w:t xml:space="preserve">блокиращ фактор </w:t>
      </w:r>
      <w:r w:rsidRPr="00B14C47">
        <w:rPr>
          <w:rFonts w:ascii="Arial" w:hAnsi="Arial" w:cs="Arial"/>
          <w:bCs/>
          <w:sz w:val="20"/>
          <w:lang w:val="ru-RU"/>
        </w:rPr>
        <w:t>е забранено</w:t>
      </w:r>
      <w:r w:rsidRPr="00B14C47">
        <w:rPr>
          <w:rFonts w:ascii="Arial" w:hAnsi="Arial" w:cs="Arial"/>
          <w:bCs/>
          <w:sz w:val="20"/>
        </w:rPr>
        <w:t xml:space="preserve"> - </w:t>
      </w:r>
      <w:r w:rsidRPr="00B14C47">
        <w:rPr>
          <w:rFonts w:ascii="Arial" w:hAnsi="Arial" w:cs="Arial"/>
          <w:bCs/>
          <w:sz w:val="20"/>
          <w:lang w:val="ru-RU"/>
        </w:rPr>
        <w:t xml:space="preserve">Блокиращ фактор: корекция на котирана цена на </w:t>
      </w:r>
      <w:r w:rsidRPr="00B14C47">
        <w:rPr>
          <w:rFonts w:ascii="Arial" w:hAnsi="Arial" w:cs="Arial"/>
          <w:bCs/>
          <w:sz w:val="20"/>
        </w:rPr>
        <w:t>активен пазар</w:t>
      </w:r>
      <w:r w:rsidRPr="00B14C47">
        <w:rPr>
          <w:rFonts w:ascii="Arial" w:hAnsi="Arial" w:cs="Arial"/>
          <w:bCs/>
          <w:sz w:val="20"/>
          <w:lang w:val="ru-RU"/>
        </w:rPr>
        <w:t>, защото нивото при нормална дневна търговия на пазара не е достатъчно да абсорбира количествата притежавани от предприятието</w:t>
      </w:r>
    </w:p>
    <w:p w14:paraId="73C63C59" w14:textId="77777777" w:rsidR="00F8561C" w:rsidRPr="00B14C47" w:rsidRDefault="00F8561C" w:rsidP="00F8561C">
      <w:pPr>
        <w:rPr>
          <w:rFonts w:ascii="Arial" w:hAnsi="Arial" w:cs="Arial"/>
          <w:bCs/>
          <w:sz w:val="20"/>
        </w:rPr>
      </w:pPr>
      <w:r w:rsidRPr="00B14C47">
        <w:rPr>
          <w:rFonts w:ascii="Arial" w:hAnsi="Arial" w:cs="Arial"/>
          <w:bCs/>
          <w:sz w:val="20"/>
        </w:rPr>
        <w:t xml:space="preserve">Ако пазарната активност спада се използват методи за оценяване  </w:t>
      </w:r>
    </w:p>
    <w:p w14:paraId="170626A9" w14:textId="77777777" w:rsidR="00F8561C" w:rsidRPr="00B14C47" w:rsidRDefault="00F8561C" w:rsidP="00F8561C">
      <w:pPr>
        <w:rPr>
          <w:rFonts w:ascii="Arial" w:hAnsi="Arial" w:cs="Arial"/>
          <w:bCs/>
          <w:sz w:val="20"/>
        </w:rPr>
      </w:pPr>
      <w:r w:rsidRPr="00B14C47">
        <w:rPr>
          <w:rFonts w:ascii="Arial" w:hAnsi="Arial" w:cs="Arial"/>
          <w:bCs/>
          <w:sz w:val="20"/>
        </w:rPr>
        <w:t>Когато има наблюдаема пазарна дейност</w:t>
      </w:r>
    </w:p>
    <w:p w14:paraId="6205CC7A" w14:textId="77777777" w:rsidR="00F8561C" w:rsidRPr="00B14C47" w:rsidRDefault="00F8561C" w:rsidP="00057C67">
      <w:pPr>
        <w:numPr>
          <w:ilvl w:val="0"/>
          <w:numId w:val="12"/>
        </w:numPr>
        <w:rPr>
          <w:rFonts w:ascii="Arial" w:hAnsi="Arial" w:cs="Arial"/>
          <w:bCs/>
          <w:sz w:val="20"/>
        </w:rPr>
      </w:pPr>
      <w:r w:rsidRPr="00B14C47">
        <w:rPr>
          <w:rFonts w:ascii="Arial" w:hAnsi="Arial" w:cs="Arial"/>
          <w:bCs/>
          <w:sz w:val="20"/>
        </w:rPr>
        <w:t>Когато има спад в наблюдаемата пазарна дейност</w:t>
      </w:r>
    </w:p>
    <w:p w14:paraId="13824F2C" w14:textId="77777777" w:rsidR="00F8561C" w:rsidRPr="00B14C47" w:rsidRDefault="00F8561C" w:rsidP="00057C67">
      <w:pPr>
        <w:numPr>
          <w:ilvl w:val="0"/>
          <w:numId w:val="12"/>
        </w:numPr>
        <w:rPr>
          <w:rFonts w:ascii="Arial" w:hAnsi="Arial" w:cs="Arial"/>
          <w:bCs/>
          <w:sz w:val="20"/>
        </w:rPr>
      </w:pPr>
      <w:r w:rsidRPr="00B14C47">
        <w:rPr>
          <w:rFonts w:ascii="Arial" w:hAnsi="Arial" w:cs="Arial"/>
          <w:bCs/>
          <w:sz w:val="20"/>
        </w:rPr>
        <w:t>Когато обикновено няма  проследима пазарна дейност</w:t>
      </w:r>
    </w:p>
    <w:p w14:paraId="0923FF37" w14:textId="77777777" w:rsidR="00F8561C" w:rsidRPr="00B14C47" w:rsidRDefault="00F8561C" w:rsidP="00057C67">
      <w:pPr>
        <w:numPr>
          <w:ilvl w:val="0"/>
          <w:numId w:val="12"/>
        </w:numPr>
        <w:rPr>
          <w:rFonts w:ascii="Arial" w:hAnsi="Arial" w:cs="Arial"/>
          <w:bCs/>
          <w:sz w:val="20"/>
        </w:rPr>
      </w:pPr>
      <w:r w:rsidRPr="00B14C47">
        <w:rPr>
          <w:rFonts w:ascii="Arial" w:hAnsi="Arial" w:cs="Arial"/>
          <w:bCs/>
          <w:sz w:val="20"/>
        </w:rPr>
        <w:lastRenderedPageBreak/>
        <w:t>Фокусът е върху това дали цените при сделките са сформирани в резултат на обичайна дейност (не продажби при ликвидация или бедствие); активността на пазара не е задължителен фокус</w:t>
      </w:r>
    </w:p>
    <w:p w14:paraId="4502853F" w14:textId="77777777" w:rsidR="00F8561C" w:rsidRPr="00B14C47" w:rsidRDefault="00F8561C" w:rsidP="00F8561C">
      <w:pPr>
        <w:rPr>
          <w:rFonts w:ascii="Arial" w:hAnsi="Arial" w:cs="Arial"/>
          <w:bCs/>
          <w:sz w:val="20"/>
        </w:rPr>
      </w:pPr>
      <w:r w:rsidRPr="00B14C47">
        <w:rPr>
          <w:rFonts w:ascii="Arial" w:hAnsi="Arial" w:cs="Arial"/>
          <w:bCs/>
          <w:sz w:val="20"/>
        </w:rPr>
        <w:t>Същите принципи са приложими за финансови и нефинансови Активи/Пасиви</w:t>
      </w:r>
    </w:p>
    <w:p w14:paraId="0CBE986F" w14:textId="77777777" w:rsidR="00F8561C" w:rsidRPr="00B14C47" w:rsidRDefault="00F8561C" w:rsidP="00F8561C">
      <w:pPr>
        <w:rPr>
          <w:rFonts w:ascii="Arial" w:hAnsi="Arial" w:cs="Arial"/>
          <w:bCs/>
          <w:sz w:val="20"/>
        </w:rPr>
      </w:pPr>
      <w:r w:rsidRPr="00B14C47">
        <w:rPr>
          <w:rFonts w:ascii="Arial" w:hAnsi="Arial" w:cs="Arial"/>
          <w:bCs/>
          <w:sz w:val="20"/>
        </w:rPr>
        <w:t>Дружеството използва подходящи според обстоятелствата методи за остойностяване, за които има достатъчно налични данни за оценяване на справедливата стойност, като използва максимално съответните наблюдаеми хипотези и свежда до минимум използването на ненаблюдаемите.</w:t>
      </w:r>
    </w:p>
    <w:p w14:paraId="06EA85F0" w14:textId="77777777" w:rsidR="00F8561C" w:rsidRPr="00B14C47" w:rsidRDefault="00F8561C" w:rsidP="00F8561C">
      <w:pPr>
        <w:rPr>
          <w:rFonts w:ascii="Arial" w:hAnsi="Arial" w:cs="Arial"/>
          <w:bCs/>
          <w:sz w:val="20"/>
        </w:rPr>
      </w:pPr>
      <w:r w:rsidRPr="00B14C47">
        <w:rPr>
          <w:rFonts w:ascii="Arial" w:hAnsi="Arial" w:cs="Arial"/>
          <w:bCs/>
          <w:sz w:val="20"/>
        </w:rPr>
        <w:t>Подход на пазарните сравнения - използват се цени и друга полезна информация, генерирана от пазарни сделки с идентични или сравними (т.е. подобни) Активи/Пасиви</w:t>
      </w:r>
    </w:p>
    <w:p w14:paraId="6E20F0B9" w14:textId="77777777" w:rsidR="00F8561C" w:rsidRPr="00B14C47" w:rsidRDefault="00F8561C" w:rsidP="00F8561C">
      <w:pPr>
        <w:rPr>
          <w:rFonts w:ascii="Arial" w:hAnsi="Arial" w:cs="Arial"/>
          <w:bCs/>
          <w:sz w:val="20"/>
        </w:rPr>
      </w:pPr>
      <w:r w:rsidRPr="00B14C47">
        <w:rPr>
          <w:rFonts w:ascii="Arial" w:hAnsi="Arial" w:cs="Arial"/>
          <w:bCs/>
          <w:sz w:val="20"/>
        </w:rPr>
        <w:t xml:space="preserve">Подход на базата на разходите - отразява актуалната сума, която би се изисквала текущо, за да се замени годността на актива (често наричана текуща цена за подмяна) </w:t>
      </w:r>
    </w:p>
    <w:p w14:paraId="00BFCD51" w14:textId="6BAD9D9E" w:rsidR="00F8561C" w:rsidRPr="00B14C47" w:rsidRDefault="00F8561C" w:rsidP="00F8561C">
      <w:pPr>
        <w:rPr>
          <w:rFonts w:ascii="Arial" w:hAnsi="Arial" w:cs="Arial"/>
          <w:bCs/>
          <w:sz w:val="20"/>
        </w:rPr>
      </w:pPr>
      <w:r w:rsidRPr="00B14C47">
        <w:rPr>
          <w:rFonts w:ascii="Arial" w:hAnsi="Arial" w:cs="Arial"/>
          <w:bCs/>
          <w:sz w:val="20"/>
        </w:rPr>
        <w:t>Подход на базата на доходите - превръща бъдещи суми (например парични потоци или приходи и разходи) в единна текуща (т.е. сконтирана) сума, която отразява текущите пазарни оча</w:t>
      </w:r>
      <w:r w:rsidR="0046160B">
        <w:rPr>
          <w:rFonts w:ascii="Arial" w:hAnsi="Arial" w:cs="Arial"/>
          <w:bCs/>
          <w:sz w:val="20"/>
        </w:rPr>
        <w:t>к</w:t>
      </w:r>
      <w:r w:rsidRPr="00B14C47">
        <w:rPr>
          <w:rFonts w:ascii="Arial" w:hAnsi="Arial" w:cs="Arial"/>
          <w:bCs/>
          <w:sz w:val="20"/>
        </w:rPr>
        <w:t>вания за тези бъдещи суми</w:t>
      </w:r>
    </w:p>
    <w:p w14:paraId="59344350" w14:textId="77777777" w:rsidR="00F8561C" w:rsidRPr="00B14C47" w:rsidRDefault="00F8561C" w:rsidP="00F8561C">
      <w:pPr>
        <w:rPr>
          <w:rFonts w:ascii="Arial" w:hAnsi="Arial" w:cs="Arial"/>
          <w:bCs/>
          <w:sz w:val="20"/>
        </w:rPr>
      </w:pPr>
      <w:r w:rsidRPr="00B14C47">
        <w:rPr>
          <w:rFonts w:ascii="Arial" w:hAnsi="Arial" w:cs="Arial"/>
          <w:bCs/>
          <w:sz w:val="20"/>
        </w:rPr>
        <w:t>Всички активи и пасиви, за които се измерва справедливата стойност или оповестени във финансовите отчети се категоризират в йерархията на справедливата стойност , описана както следва , на базата на най-ниското ниво вход, който е от значение за оценяването на справедливата стойност като цяло.</w:t>
      </w:r>
    </w:p>
    <w:p w14:paraId="45073851" w14:textId="77777777" w:rsidR="00F8561C" w:rsidRPr="00B14C47" w:rsidRDefault="00F8561C" w:rsidP="00F8561C">
      <w:pPr>
        <w:rPr>
          <w:rFonts w:ascii="Arial" w:hAnsi="Arial" w:cs="Arial"/>
          <w:bCs/>
          <w:sz w:val="20"/>
        </w:rPr>
      </w:pPr>
      <w:r w:rsidRPr="00B14C47">
        <w:rPr>
          <w:rFonts w:ascii="Arial" w:hAnsi="Arial" w:cs="Arial"/>
          <w:bCs/>
          <w:sz w:val="20"/>
        </w:rPr>
        <w:t>Йерархията на справедливите стойност се категоризира в три нива на хипотези, използвани при методите за оценяване на справедливата стойност. Категоризацията е в различни нива в йерархията на справедливата стойност на базата на степента, в която входящите данни за измерването са наблюдавани и значението на входящите данни за оценяването на справедливата стойност в тяхната цялост:Йерархията на справедливите стойности предоставящи най-висок ранг на обявените (некоригирани) цени на активните пазари за идентични активи или пасиви (хипотези от 1-во ниво) и най-нисък - на ненаблюдаемите хипотези (хипотези от 3-то ниво).</w:t>
      </w:r>
    </w:p>
    <w:p w14:paraId="41086214" w14:textId="77777777" w:rsidR="00F8561C" w:rsidRPr="00B14C47" w:rsidRDefault="00F8561C" w:rsidP="00F8561C">
      <w:pPr>
        <w:rPr>
          <w:rFonts w:ascii="Arial" w:hAnsi="Arial" w:cs="Arial"/>
          <w:bCs/>
          <w:sz w:val="20"/>
        </w:rPr>
      </w:pPr>
      <w:r w:rsidRPr="00B14C47">
        <w:rPr>
          <w:rFonts w:ascii="Arial" w:hAnsi="Arial" w:cs="Arial"/>
          <w:bCs/>
          <w:sz w:val="20"/>
        </w:rPr>
        <w:t>Хипотези от 1-во ниво - Обявени (некоригирани) цени на активните пазари за идентични активи или пасиви, до които предприятието може да има достъп към датата на оценяване.</w:t>
      </w:r>
    </w:p>
    <w:p w14:paraId="79A76D42" w14:textId="77777777" w:rsidR="00F8561C" w:rsidRPr="00B14C47" w:rsidRDefault="00F8561C" w:rsidP="00F8561C">
      <w:pPr>
        <w:rPr>
          <w:rFonts w:ascii="Arial" w:hAnsi="Arial" w:cs="Arial"/>
          <w:bCs/>
          <w:sz w:val="20"/>
        </w:rPr>
      </w:pPr>
      <w:r w:rsidRPr="00B14C47">
        <w:rPr>
          <w:rFonts w:ascii="Arial" w:hAnsi="Arial" w:cs="Arial"/>
          <w:bCs/>
          <w:sz w:val="20"/>
        </w:rPr>
        <w:t>Хипотези от 2-ро ниво Други хипотези освен включените в ниво 1 обявени цени за актив или пасив, които са наблюдаеми пряко или косвено.</w:t>
      </w:r>
    </w:p>
    <w:p w14:paraId="27176E92" w14:textId="77777777" w:rsidR="00F8561C" w:rsidRPr="00B14C47" w:rsidRDefault="00F8561C" w:rsidP="00F8561C">
      <w:pPr>
        <w:rPr>
          <w:rFonts w:ascii="Arial" w:hAnsi="Arial" w:cs="Arial"/>
          <w:bCs/>
          <w:sz w:val="20"/>
        </w:rPr>
      </w:pPr>
      <w:r w:rsidRPr="00B14C47">
        <w:rPr>
          <w:rFonts w:ascii="Arial" w:hAnsi="Arial" w:cs="Arial"/>
          <w:bCs/>
          <w:sz w:val="20"/>
        </w:rPr>
        <w:t>Хипотези от 3-то ниво Ненаблюдаеми хипотези за актив или пасив. Получени от техники за оценка , които включват входове за актива или пасива , които не се основават на пазарни данни ( непазарни фактори)</w:t>
      </w:r>
    </w:p>
    <w:p w14:paraId="48F9989A" w14:textId="77777777" w:rsidR="00F8561C" w:rsidRPr="00B14C47" w:rsidRDefault="00F8561C" w:rsidP="00F8561C">
      <w:pPr>
        <w:rPr>
          <w:rFonts w:ascii="Arial" w:hAnsi="Arial" w:cs="Arial"/>
          <w:bCs/>
          <w:sz w:val="20"/>
        </w:rPr>
      </w:pPr>
      <w:r w:rsidRPr="00B14C47">
        <w:rPr>
          <w:rFonts w:ascii="Arial" w:hAnsi="Arial" w:cs="Arial"/>
          <w:bCs/>
          <w:sz w:val="20"/>
        </w:rPr>
        <w:t>Трансфери между различните нива на йерархия на справедливата стойност се признават от Дружеството в края на отчетния период, през който е настъпила промяната.</w:t>
      </w:r>
    </w:p>
    <w:p w14:paraId="2A602350" w14:textId="77777777" w:rsidR="00F8561C" w:rsidRPr="00B14C47" w:rsidRDefault="00F8561C" w:rsidP="00F8561C">
      <w:pPr>
        <w:rPr>
          <w:rFonts w:ascii="Arial" w:hAnsi="Arial" w:cs="Arial"/>
          <w:bCs/>
          <w:sz w:val="20"/>
        </w:rPr>
      </w:pPr>
    </w:p>
    <w:p w14:paraId="453785F6" w14:textId="77777777" w:rsidR="00B66DF8" w:rsidRPr="00B14C47" w:rsidRDefault="00B66DF8" w:rsidP="00B66DF8">
      <w:pPr>
        <w:pStyle w:val="Heading2"/>
        <w:spacing w:before="0"/>
        <w:rPr>
          <w:rFonts w:ascii="Arial" w:hAnsi="Arial" w:cs="Arial"/>
          <w:i/>
          <w:sz w:val="20"/>
          <w:szCs w:val="20"/>
          <w:lang w:val="bg-BG"/>
        </w:rPr>
      </w:pPr>
      <w:bookmarkStart w:id="95" w:name="_Toc164268359"/>
      <w:r w:rsidRPr="00B14C47">
        <w:rPr>
          <w:rFonts w:ascii="Arial" w:hAnsi="Arial" w:cs="Arial"/>
          <w:i/>
          <w:sz w:val="20"/>
          <w:szCs w:val="20"/>
          <w:lang w:val="bg-BG"/>
        </w:rPr>
        <w:t>КРИТИЧНИ СЧЕТОВОДНИ ПРЕЦЕНКИ И ПРИБЛИЗИТЕЛНИ ОЦЕНКИ</w:t>
      </w:r>
      <w:bookmarkEnd w:id="95"/>
      <w:r w:rsidRPr="00B14C47">
        <w:rPr>
          <w:rFonts w:ascii="Arial" w:hAnsi="Arial" w:cs="Arial"/>
          <w:i/>
          <w:sz w:val="20"/>
          <w:szCs w:val="20"/>
          <w:lang w:val="bg-BG"/>
        </w:rPr>
        <w:t xml:space="preserve"> </w:t>
      </w:r>
    </w:p>
    <w:p w14:paraId="7E1AF64B" w14:textId="77777777" w:rsidR="00862953" w:rsidRPr="00B14C47" w:rsidRDefault="00862953" w:rsidP="00862953">
      <w:pPr>
        <w:rPr>
          <w:rFonts w:ascii="Arial" w:hAnsi="Arial" w:cs="Arial"/>
          <w:sz w:val="20"/>
        </w:rPr>
      </w:pPr>
      <w:r w:rsidRPr="00B14C47">
        <w:rPr>
          <w:rFonts w:ascii="Arial" w:hAnsi="Arial" w:cs="Arial"/>
          <w:sz w:val="20"/>
        </w:rPr>
        <w:t xml:space="preserve">При изготвянето на своите индивидуални финансови отчети,  Дружеството е направило значителни преценки, прогнози и предположения, които оказват влияние на балансовата стойност на някои активи и пасиви, доходи и разходи, както и друга информация отчетена в бележките. Дружеството периодично следи тези прогнози и предположения и се уверява, че те съдържат цялата необходима информация, налична към датата, на която се изготвят финансовите отчети. Въпреки това не пречи реалните цифри да се различават от направените оценки. </w:t>
      </w:r>
    </w:p>
    <w:p w14:paraId="6B67A9D5" w14:textId="77777777" w:rsidR="00862953" w:rsidRPr="00B14C47" w:rsidRDefault="00862953" w:rsidP="00862953">
      <w:pPr>
        <w:rPr>
          <w:rFonts w:ascii="Arial" w:hAnsi="Arial" w:cs="Arial"/>
          <w:sz w:val="20"/>
        </w:rPr>
      </w:pPr>
      <w:r w:rsidRPr="00B14C47">
        <w:rPr>
          <w:rFonts w:ascii="Arial" w:hAnsi="Arial" w:cs="Arial"/>
          <w:sz w:val="20"/>
        </w:rPr>
        <w:t>Преценките, прогнозите и предположенията, за които съществува значителен риск да причинят съществени корекции в балансовите суми на активите и пасивите, в рамките на следващата финансова година, са разгледани по-долу.</w:t>
      </w:r>
    </w:p>
    <w:p w14:paraId="02EB43B3" w14:textId="77777777" w:rsidR="00B66DF8" w:rsidRPr="00B14C47" w:rsidRDefault="00B66DF8" w:rsidP="00B66DF8">
      <w:pPr>
        <w:rPr>
          <w:rFonts w:ascii="Arial" w:hAnsi="Arial" w:cs="Arial"/>
          <w:sz w:val="20"/>
          <w:lang w:val="en-US"/>
        </w:rPr>
      </w:pPr>
    </w:p>
    <w:p w14:paraId="1690CC1F" w14:textId="77777777" w:rsidR="00B66DF8" w:rsidRPr="00B14C47" w:rsidRDefault="00B66DF8" w:rsidP="00B66DF8">
      <w:pPr>
        <w:pStyle w:val="Heading3"/>
        <w:spacing w:before="0"/>
        <w:rPr>
          <w:rFonts w:ascii="Arial" w:hAnsi="Arial" w:cs="Arial"/>
          <w:lang w:val="bg-BG"/>
        </w:rPr>
      </w:pPr>
      <w:bookmarkStart w:id="96" w:name="_Toc96871883"/>
      <w:bookmarkStart w:id="97" w:name="_Toc160806720"/>
      <w:bookmarkStart w:id="98" w:name="_Toc164268360"/>
      <w:r w:rsidRPr="00B14C47">
        <w:rPr>
          <w:rFonts w:ascii="Arial" w:hAnsi="Arial" w:cs="Arial"/>
          <w:lang w:val="bg-BG"/>
        </w:rPr>
        <w:t xml:space="preserve">Тестове за обезценка на </w:t>
      </w:r>
      <w:r w:rsidR="00675FFC" w:rsidRPr="00B14C47">
        <w:rPr>
          <w:rFonts w:ascii="Arial" w:hAnsi="Arial" w:cs="Arial"/>
          <w:lang w:val="bg-BG"/>
        </w:rPr>
        <w:t xml:space="preserve">финансови </w:t>
      </w:r>
      <w:r w:rsidRPr="00B14C47">
        <w:rPr>
          <w:rFonts w:ascii="Arial" w:hAnsi="Arial" w:cs="Arial"/>
          <w:lang w:val="bg-BG"/>
        </w:rPr>
        <w:t>активи</w:t>
      </w:r>
      <w:bookmarkEnd w:id="96"/>
      <w:bookmarkEnd w:id="97"/>
      <w:bookmarkEnd w:id="98"/>
    </w:p>
    <w:p w14:paraId="4BF38D8A" w14:textId="77777777" w:rsidR="002B7077" w:rsidRPr="00B14C47" w:rsidRDefault="002B7077" w:rsidP="002B7077">
      <w:pPr>
        <w:autoSpaceDE w:val="0"/>
        <w:autoSpaceDN w:val="0"/>
        <w:adjustRightInd w:val="0"/>
        <w:rPr>
          <w:rFonts w:ascii="Arial" w:hAnsi="Arial" w:cs="Arial"/>
          <w:sz w:val="20"/>
        </w:rPr>
      </w:pPr>
      <w:r w:rsidRPr="00B14C47">
        <w:rPr>
          <w:rFonts w:ascii="Arial" w:hAnsi="Arial" w:cs="Arial"/>
          <w:sz w:val="20"/>
        </w:rPr>
        <w:t>Финансов актив или група от финансови активи различни от тези, които попадат в категорията на активи по справедлива стойност в печалбата или загубата се оценяват за индикатори за обезценка в края на всеки отчетен период. Обезценка съществува само тогава, когато  Дружеството установи, че е настъпило "събитие - загуба", засягащо очакваните бъдещи парични потоци на финансовия актив. Може да не е възможно да се определи едно събитие, което причинява обезценка още повече да се определи, когато е настъпило събитието загуба може да е свързано с упражняването на значителна преценка.</w:t>
      </w:r>
    </w:p>
    <w:p w14:paraId="5989D487" w14:textId="77777777" w:rsidR="002B7077" w:rsidRPr="00B14C47" w:rsidRDefault="002B7077" w:rsidP="002B7077">
      <w:pPr>
        <w:autoSpaceDE w:val="0"/>
        <w:autoSpaceDN w:val="0"/>
        <w:adjustRightInd w:val="0"/>
        <w:rPr>
          <w:rFonts w:ascii="Arial" w:hAnsi="Arial" w:cs="Arial"/>
          <w:sz w:val="20"/>
        </w:rPr>
      </w:pPr>
      <w:r w:rsidRPr="00B14C47">
        <w:rPr>
          <w:rFonts w:ascii="Arial" w:hAnsi="Arial" w:cs="Arial"/>
          <w:sz w:val="20"/>
        </w:rPr>
        <w:t xml:space="preserve">Ръководството е възложило на независим лицензиран оценител оценката </w:t>
      </w:r>
      <w:r w:rsidR="00984D04" w:rsidRPr="00B14C47">
        <w:rPr>
          <w:rFonts w:ascii="Arial" w:hAnsi="Arial" w:cs="Arial"/>
          <w:sz w:val="20"/>
        </w:rPr>
        <w:t xml:space="preserve">към 31.12.2018 и 31.12.2019г. </w:t>
      </w:r>
      <w:r w:rsidRPr="00B14C47">
        <w:rPr>
          <w:rFonts w:ascii="Arial" w:hAnsi="Arial" w:cs="Arial"/>
          <w:sz w:val="20"/>
        </w:rPr>
        <w:t>на представените в индивидуалния отчет за финансовото състояние и приложение 2.</w:t>
      </w:r>
      <w:r w:rsidR="00E76218" w:rsidRPr="00B14C47">
        <w:rPr>
          <w:rFonts w:ascii="Arial" w:hAnsi="Arial" w:cs="Arial"/>
          <w:sz w:val="20"/>
        </w:rPr>
        <w:t>3</w:t>
      </w:r>
      <w:r w:rsidRPr="00B14C47">
        <w:rPr>
          <w:rFonts w:ascii="Arial" w:hAnsi="Arial" w:cs="Arial"/>
          <w:sz w:val="20"/>
        </w:rPr>
        <w:t>., вземания придобити чрез цесии и същите са представени по справедливата им стойност определена от лицензирания оценител.</w:t>
      </w:r>
    </w:p>
    <w:p w14:paraId="17AB2061" w14:textId="77777777" w:rsidR="00176853" w:rsidRPr="00B14C47" w:rsidRDefault="00176853" w:rsidP="002B7077">
      <w:pPr>
        <w:autoSpaceDE w:val="0"/>
        <w:autoSpaceDN w:val="0"/>
        <w:adjustRightInd w:val="0"/>
        <w:rPr>
          <w:rFonts w:ascii="Arial" w:hAnsi="Arial" w:cs="Arial"/>
          <w:sz w:val="20"/>
        </w:rPr>
      </w:pPr>
      <w:r w:rsidRPr="00B14C47">
        <w:rPr>
          <w:rFonts w:ascii="Arial" w:hAnsi="Arial" w:cs="Arial"/>
          <w:sz w:val="20"/>
        </w:rPr>
        <w:lastRenderedPageBreak/>
        <w:t xml:space="preserve">Лицензирания оценител е използвал методи за отразяване на обективните фактори за обезценка </w:t>
      </w:r>
      <w:r w:rsidRPr="00B14C47">
        <w:rPr>
          <w:rFonts w:ascii="Arial" w:hAnsi="Arial" w:cs="Arial"/>
          <w:sz w:val="20"/>
          <w:lang w:val="en-US"/>
        </w:rPr>
        <w:t>(</w:t>
      </w:r>
      <w:r w:rsidRPr="00B14C47">
        <w:rPr>
          <w:rFonts w:ascii="Arial" w:hAnsi="Arial" w:cs="Arial"/>
          <w:sz w:val="20"/>
        </w:rPr>
        <w:t>сконтиране</w:t>
      </w:r>
      <w:r w:rsidRPr="00B14C47">
        <w:rPr>
          <w:rFonts w:ascii="Arial" w:hAnsi="Arial" w:cs="Arial"/>
          <w:sz w:val="20"/>
          <w:lang w:val="en-US"/>
        </w:rPr>
        <w:t>)</w:t>
      </w:r>
      <w:r w:rsidRPr="00B14C47">
        <w:rPr>
          <w:rFonts w:ascii="Arial" w:hAnsi="Arial" w:cs="Arial"/>
          <w:sz w:val="20"/>
        </w:rPr>
        <w:t xml:space="preserve"> на вземането, като инфлация, давностна събираемост, финансова обезпеченост и др., като се спазват основните изисквания на МСО.</w:t>
      </w:r>
    </w:p>
    <w:p w14:paraId="4AA94D63" w14:textId="77777777" w:rsidR="002B7077" w:rsidRPr="00B14C47" w:rsidRDefault="002B7077" w:rsidP="002B7077">
      <w:pPr>
        <w:autoSpaceDE w:val="0"/>
        <w:autoSpaceDN w:val="0"/>
        <w:adjustRightInd w:val="0"/>
        <w:rPr>
          <w:rFonts w:ascii="Arial" w:hAnsi="Arial" w:cs="Arial"/>
          <w:sz w:val="20"/>
        </w:rPr>
      </w:pPr>
      <w:r w:rsidRPr="00B14C47">
        <w:rPr>
          <w:rFonts w:ascii="Arial" w:hAnsi="Arial" w:cs="Arial"/>
          <w:sz w:val="20"/>
        </w:rPr>
        <w:t>Размерът на загубата от обезценка признат за финансови активи, отчитани по амортизирана стойност, е разликата между балансовата стойност на актива и сегашната стойност на очакваните бъдещи парични потоци дисконтирани с първоначалния ефективен лихвен процент.</w:t>
      </w:r>
    </w:p>
    <w:p w14:paraId="5C0A9C4A" w14:textId="77777777" w:rsidR="005978E2" w:rsidRPr="00B14C47" w:rsidRDefault="005978E2" w:rsidP="005978E2">
      <w:pPr>
        <w:autoSpaceDE w:val="0"/>
        <w:autoSpaceDN w:val="0"/>
        <w:adjustRightInd w:val="0"/>
        <w:rPr>
          <w:rFonts w:ascii="Arial" w:hAnsi="Arial" w:cs="Arial"/>
          <w:bCs/>
          <w:sz w:val="20"/>
          <w:lang w:eastAsia="bg-BG"/>
        </w:rPr>
      </w:pPr>
      <w:r w:rsidRPr="00B14C47">
        <w:rPr>
          <w:rFonts w:ascii="Arial" w:hAnsi="Arial" w:cs="Arial"/>
          <w:bCs/>
          <w:sz w:val="20"/>
          <w:lang w:eastAsia="bg-BG"/>
        </w:rPr>
        <w:t xml:space="preserve">За оценка и измерване на очакваните кредитни загуби на финансовите активи, отчитани по амортизирана стойност ръководството на Дружеството е възприело модели за обезценка, базирани на оценка на кредитен рейтинг на длъжниците на база финансовите им показатели и допълнителни рискове, като се вземат предвид и съществени промени в икономическата среда. </w:t>
      </w:r>
    </w:p>
    <w:p w14:paraId="1E1AAE1C" w14:textId="77777777" w:rsidR="00754045" w:rsidRPr="00B14C47" w:rsidRDefault="00754045" w:rsidP="00B66DF8">
      <w:pPr>
        <w:rPr>
          <w:rFonts w:ascii="Arial" w:hAnsi="Arial" w:cs="Arial"/>
          <w:sz w:val="20"/>
          <w:lang w:val="en-US"/>
        </w:rPr>
      </w:pPr>
    </w:p>
    <w:p w14:paraId="009618E1" w14:textId="77777777" w:rsidR="00B66DF8" w:rsidRPr="00B14C47" w:rsidRDefault="00B66DF8" w:rsidP="00B66DF8">
      <w:pPr>
        <w:pStyle w:val="Heading3"/>
        <w:spacing w:before="0"/>
        <w:rPr>
          <w:rFonts w:ascii="Arial" w:hAnsi="Arial" w:cs="Arial"/>
          <w:lang w:val="bg-BG"/>
        </w:rPr>
      </w:pPr>
      <w:bookmarkStart w:id="99" w:name="_Toc96871884"/>
      <w:bookmarkStart w:id="100" w:name="_Toc160806721"/>
      <w:bookmarkStart w:id="101" w:name="_Toc164268361"/>
      <w:r w:rsidRPr="00B14C47">
        <w:rPr>
          <w:rFonts w:ascii="Arial" w:hAnsi="Arial" w:cs="Arial"/>
          <w:lang w:val="bg-BG"/>
        </w:rPr>
        <w:t>Справедливата стойност на некотирани инвестиции</w:t>
      </w:r>
      <w:bookmarkEnd w:id="99"/>
      <w:bookmarkEnd w:id="100"/>
      <w:bookmarkEnd w:id="101"/>
    </w:p>
    <w:p w14:paraId="194525C4" w14:textId="77777777" w:rsidR="001962F9" w:rsidRPr="00B14C47" w:rsidRDefault="001962F9" w:rsidP="001962F9">
      <w:pPr>
        <w:rPr>
          <w:rFonts w:ascii="Arial" w:hAnsi="Arial" w:cs="Arial"/>
          <w:sz w:val="20"/>
        </w:rPr>
      </w:pPr>
      <w:r w:rsidRPr="00B14C47">
        <w:rPr>
          <w:rFonts w:ascii="Arial" w:hAnsi="Arial" w:cs="Arial"/>
          <w:sz w:val="20"/>
        </w:rPr>
        <w:t xml:space="preserve">Ако пазарът на даден финансов актив не е активен или не е лесно достъпен  Дружеството установява справедливата стойност на инвестицията с помощта на методи за оценка, които включват използването на скорошни (последните) формални сделки, позоваване на други инструменти, които са по същество същите чрез анализ на дисконтираните парични потоци и модели на ценообразуване отразяващи специфичните обстоятелства на емитента. Тази оценка изисква  Дружеството да избере измежду диапазон от различни методологии за оценяване и да направи преценка относно очакваните бъдещи парични потоци и дисконтовата ставка. </w:t>
      </w:r>
    </w:p>
    <w:p w14:paraId="0CC68243" w14:textId="77777777" w:rsidR="00B66DF8" w:rsidRPr="00B14C47" w:rsidRDefault="00B66DF8" w:rsidP="00B66DF8">
      <w:pPr>
        <w:rPr>
          <w:rFonts w:ascii="Arial" w:hAnsi="Arial" w:cs="Arial"/>
          <w:sz w:val="20"/>
        </w:rPr>
      </w:pPr>
    </w:p>
    <w:p w14:paraId="367FE9D8" w14:textId="77777777" w:rsidR="00176853" w:rsidRPr="00B14C47" w:rsidRDefault="00176853" w:rsidP="00176853">
      <w:pPr>
        <w:pStyle w:val="Heading3"/>
        <w:spacing w:before="0"/>
        <w:rPr>
          <w:rFonts w:ascii="Arial" w:hAnsi="Arial" w:cs="Arial"/>
          <w:lang w:val="bg-BG"/>
        </w:rPr>
      </w:pPr>
      <w:bookmarkStart w:id="102" w:name="_Toc96871885"/>
      <w:bookmarkStart w:id="103" w:name="_Toc160806722"/>
      <w:bookmarkStart w:id="104" w:name="_Toc164268362"/>
      <w:r w:rsidRPr="00B14C47">
        <w:rPr>
          <w:rFonts w:ascii="Arial" w:hAnsi="Arial" w:cs="Arial"/>
          <w:lang w:val="bg-BG"/>
        </w:rPr>
        <w:t>Приблизителна оценка на отсрочените данъци</w:t>
      </w:r>
      <w:bookmarkEnd w:id="102"/>
      <w:bookmarkEnd w:id="103"/>
      <w:bookmarkEnd w:id="104"/>
    </w:p>
    <w:p w14:paraId="643AC6B7" w14:textId="77777777" w:rsidR="004E57D5" w:rsidRPr="00B14C47" w:rsidRDefault="004E57D5" w:rsidP="004E57D5">
      <w:pPr>
        <w:rPr>
          <w:rFonts w:ascii="Arial" w:hAnsi="Arial" w:cs="Arial"/>
          <w:sz w:val="20"/>
        </w:rPr>
      </w:pPr>
      <w:r w:rsidRPr="00B14C47">
        <w:rPr>
          <w:rFonts w:ascii="Arial" w:hAnsi="Arial" w:cs="Arial"/>
          <w:sz w:val="20"/>
        </w:rPr>
        <w:t>Признаването на отсрочените данъчни активи и пасиви включва съставянето на серия от допускания. Например  Дружеството трябва до оцени времето на възстановяване на временни разлики, дали е възможно временните разлики да не бъде възстановени в предвидимо бъдеще или доколко данъчните ставки се очаква да се прилагат за периода, когато активът ще се реализира или пасивът ще се уреди.</w:t>
      </w:r>
    </w:p>
    <w:p w14:paraId="3DE64853" w14:textId="77777777" w:rsidR="004E57D5" w:rsidRPr="00B14C47" w:rsidRDefault="004E57D5" w:rsidP="004E57D5">
      <w:pPr>
        <w:rPr>
          <w:rFonts w:ascii="Arial" w:hAnsi="Arial" w:cs="Arial"/>
          <w:sz w:val="20"/>
        </w:rPr>
      </w:pPr>
      <w:r w:rsidRPr="00B14C47">
        <w:rPr>
          <w:rFonts w:ascii="Arial" w:hAnsi="Arial" w:cs="Arial"/>
          <w:sz w:val="20"/>
        </w:rPr>
        <w:t>Що се отнася до отсрочени данъчни активи реализирането им в крайна сметка зависи от облагаемия доход, който ще е на разположение в бъдеще. Отсрочените данъчни активи се признават само когато е сигурно, че ще има облагаема печалба, срещу която може да се усвои отсроченият данъчен актив и е вероятно, че Дружеството ще реализира достатъчно облагаем доход в бъдещи периоди, за да оползотвори намалението при плащането на данък. Това означава, че  Дружеството прави предположения за данъчното си планиране и периодично ги оценява повторно, за да отразяват промяната в обстоятелствата, както и данъчни разпоредби. Освен това измерването на отсрочен данъчен актив или пасив отразява начина, по който дружеството очаква да възстанови балансовата стойност на актива или уреди пасива. Непризнатите отсрочени данъчни активи, за които Дружеството няма достатъчно сигурност, че ще могат да бъдат възстановени са оповестени в приложение 2.2.</w:t>
      </w:r>
    </w:p>
    <w:p w14:paraId="46717CEE" w14:textId="77777777" w:rsidR="00750B47" w:rsidRPr="00B14C47" w:rsidRDefault="00750B47" w:rsidP="00B66DF8">
      <w:pPr>
        <w:rPr>
          <w:rFonts w:ascii="Arial" w:hAnsi="Arial" w:cs="Arial"/>
          <w:sz w:val="20"/>
          <w:lang w:val="en-US"/>
        </w:rPr>
      </w:pPr>
    </w:p>
    <w:p w14:paraId="0AD29C11" w14:textId="77777777" w:rsidR="00B66DF8" w:rsidRPr="00B14C47" w:rsidRDefault="00B66DF8" w:rsidP="00B66DF8">
      <w:pPr>
        <w:pStyle w:val="Heading3"/>
        <w:spacing w:before="0"/>
        <w:rPr>
          <w:rFonts w:ascii="Arial" w:hAnsi="Arial" w:cs="Arial"/>
          <w:lang w:val="bg-BG"/>
        </w:rPr>
      </w:pPr>
      <w:bookmarkStart w:id="105" w:name="_Toc96871886"/>
      <w:bookmarkStart w:id="106" w:name="_Toc160806723"/>
      <w:bookmarkStart w:id="107" w:name="_Toc164268363"/>
      <w:r w:rsidRPr="00B14C47">
        <w:rPr>
          <w:rFonts w:ascii="Arial" w:hAnsi="Arial" w:cs="Arial"/>
          <w:lang w:val="bg-BG"/>
        </w:rPr>
        <w:t>Условни активи и пасиви</w:t>
      </w:r>
      <w:bookmarkEnd w:id="105"/>
      <w:bookmarkEnd w:id="106"/>
      <w:bookmarkEnd w:id="107"/>
    </w:p>
    <w:p w14:paraId="4CB9F757" w14:textId="77777777" w:rsidR="00750B47" w:rsidRPr="00B14C47" w:rsidRDefault="00750B47" w:rsidP="00750B47">
      <w:pPr>
        <w:rPr>
          <w:rFonts w:ascii="Arial" w:hAnsi="Arial" w:cs="Arial"/>
          <w:sz w:val="20"/>
        </w:rPr>
      </w:pPr>
      <w:r w:rsidRPr="00B14C47">
        <w:rPr>
          <w:rFonts w:ascii="Arial" w:hAnsi="Arial" w:cs="Arial"/>
          <w:sz w:val="20"/>
        </w:rPr>
        <w:t>Условните пасиви на  Дружеството не са признати, но са оповестени, освен ако възможността за изходящ поток на ресурси съдържащ икономически ползи е отдалечен във времето.</w:t>
      </w:r>
    </w:p>
    <w:p w14:paraId="1552A32B" w14:textId="77777777" w:rsidR="00750B47" w:rsidRPr="00B14C47" w:rsidRDefault="00750B47" w:rsidP="00750B47">
      <w:pPr>
        <w:rPr>
          <w:rFonts w:ascii="Arial" w:hAnsi="Arial" w:cs="Arial"/>
          <w:sz w:val="20"/>
        </w:rPr>
      </w:pPr>
      <w:r w:rsidRPr="00B14C47">
        <w:rPr>
          <w:rFonts w:ascii="Arial" w:hAnsi="Arial" w:cs="Arial"/>
          <w:sz w:val="20"/>
        </w:rPr>
        <w:t>Условните пасиви представляват възможни задължения възникващи от минали събития, чието съществуване ще бъде потвърдено само от настъпването или ненастъпването на едно или повече несигурни бъдещи събития не изцяло в рамките на контрола на юридическото лице. Те не се признават защото не е вероятно, че изходящ поток от ресурси ще бъде необходим за покриване на задължението и сумата на задължението не може да бъде оценена с достатъчна надеждност.</w:t>
      </w:r>
    </w:p>
    <w:p w14:paraId="1E4A64F1" w14:textId="77777777" w:rsidR="00750B47" w:rsidRPr="00B14C47" w:rsidRDefault="00750B47" w:rsidP="00750B47">
      <w:pPr>
        <w:rPr>
          <w:rFonts w:ascii="Arial" w:hAnsi="Arial" w:cs="Arial"/>
          <w:sz w:val="20"/>
        </w:rPr>
      </w:pPr>
      <w:r w:rsidRPr="00B14C47">
        <w:rPr>
          <w:rFonts w:ascii="Arial" w:hAnsi="Arial" w:cs="Arial"/>
          <w:sz w:val="20"/>
        </w:rPr>
        <w:t>Неизбежно определянето на условен пасив изисква значителни преценка от страна на ръководството.</w:t>
      </w:r>
    </w:p>
    <w:bookmarkEnd w:id="20"/>
    <w:p w14:paraId="18685D9F" w14:textId="77777777" w:rsidR="00697983" w:rsidRDefault="00697983" w:rsidP="003B089B">
      <w:pPr>
        <w:rPr>
          <w:rFonts w:ascii="Arial" w:hAnsi="Arial" w:cs="Arial"/>
          <w:b/>
          <w:bCs/>
          <w:i/>
          <w:color w:val="4F81BD"/>
          <w:sz w:val="20"/>
        </w:rPr>
      </w:pPr>
    </w:p>
    <w:p w14:paraId="0C51209B" w14:textId="76DC5E52" w:rsidR="003B089B" w:rsidRPr="00B14C47" w:rsidRDefault="003B089B" w:rsidP="003B089B">
      <w:pPr>
        <w:rPr>
          <w:rFonts w:ascii="Arial" w:hAnsi="Arial" w:cs="Arial"/>
          <w:b/>
          <w:bCs/>
          <w:i/>
          <w:color w:val="4F81BD"/>
          <w:sz w:val="20"/>
        </w:rPr>
      </w:pPr>
      <w:r w:rsidRPr="00B14C47">
        <w:rPr>
          <w:rFonts w:ascii="Arial" w:hAnsi="Arial" w:cs="Arial"/>
          <w:b/>
          <w:bCs/>
          <w:i/>
          <w:color w:val="4F81BD"/>
          <w:sz w:val="20"/>
        </w:rPr>
        <w:t>ОТЧИТАНЕ ПО СЕГМЕНТИ</w:t>
      </w:r>
    </w:p>
    <w:p w14:paraId="1F5C8804" w14:textId="77777777" w:rsidR="003B089B" w:rsidRPr="00B14C47" w:rsidRDefault="003B089B" w:rsidP="003B089B">
      <w:pPr>
        <w:shd w:val="clear" w:color="auto" w:fill="FFFFFF"/>
        <w:ind w:right="168"/>
        <w:rPr>
          <w:rFonts w:ascii="Arial" w:hAnsi="Arial" w:cs="Arial"/>
          <w:sz w:val="20"/>
        </w:rPr>
      </w:pPr>
      <w:r w:rsidRPr="00B14C47">
        <w:rPr>
          <w:rFonts w:ascii="Arial" w:hAnsi="Arial" w:cs="Arial"/>
          <w:spacing w:val="-3"/>
          <w:sz w:val="20"/>
        </w:rPr>
        <w:t xml:space="preserve">Акциите на Дружество се търгуват на регулиран пазар Българска </w:t>
      </w:r>
      <w:r w:rsidRPr="00B14C47">
        <w:rPr>
          <w:rFonts w:ascii="Arial" w:hAnsi="Arial" w:cs="Arial"/>
          <w:spacing w:val="10"/>
          <w:sz w:val="20"/>
        </w:rPr>
        <w:t xml:space="preserve">Фондова Борса - София АД. Дружеството развива дейност само в един </w:t>
      </w:r>
      <w:r w:rsidRPr="00B14C47">
        <w:rPr>
          <w:rFonts w:ascii="Arial" w:hAnsi="Arial" w:cs="Arial"/>
          <w:spacing w:val="-1"/>
          <w:sz w:val="20"/>
        </w:rPr>
        <w:t xml:space="preserve">икономически сектор </w:t>
      </w:r>
      <w:r w:rsidR="005978E2" w:rsidRPr="00B14C47">
        <w:rPr>
          <w:rFonts w:ascii="Arial" w:hAnsi="Arial" w:cs="Arial"/>
          <w:spacing w:val="-1"/>
          <w:sz w:val="20"/>
        </w:rPr>
        <w:t xml:space="preserve">в Р България </w:t>
      </w:r>
      <w:r w:rsidRPr="00B14C47">
        <w:rPr>
          <w:rFonts w:ascii="Arial" w:hAnsi="Arial" w:cs="Arial"/>
          <w:spacing w:val="-1"/>
          <w:sz w:val="20"/>
        </w:rPr>
        <w:t xml:space="preserve">и </w:t>
      </w:r>
      <w:r w:rsidRPr="00B14C47">
        <w:rPr>
          <w:rFonts w:ascii="Arial" w:hAnsi="Arial" w:cs="Arial"/>
          <w:spacing w:val="-2"/>
          <w:sz w:val="20"/>
        </w:rPr>
        <w:t>поради тези причини няма да бъде представена информация за различните сектори в настоящия финансов отчет.</w:t>
      </w:r>
    </w:p>
    <w:p w14:paraId="3BDAD3A6" w14:textId="77777777" w:rsidR="00B66DF8" w:rsidRPr="00B14C47" w:rsidRDefault="00B66DF8" w:rsidP="00B66DF8">
      <w:pPr>
        <w:rPr>
          <w:rFonts w:ascii="Arial" w:hAnsi="Arial" w:cs="Arial"/>
          <w:sz w:val="20"/>
        </w:rPr>
      </w:pPr>
    </w:p>
    <w:p w14:paraId="54F66B1C" w14:textId="77777777" w:rsidR="00B66DF8" w:rsidRPr="00B14C47" w:rsidRDefault="00B66DF8" w:rsidP="00B66DF8">
      <w:pPr>
        <w:pStyle w:val="Heading2"/>
        <w:spacing w:before="0"/>
        <w:rPr>
          <w:rFonts w:ascii="Arial" w:hAnsi="Arial" w:cs="Arial"/>
          <w:i/>
          <w:sz w:val="20"/>
          <w:szCs w:val="20"/>
          <w:lang w:val="bg-BG"/>
        </w:rPr>
      </w:pPr>
      <w:bookmarkStart w:id="108" w:name="_Toc247959153"/>
      <w:bookmarkStart w:id="109" w:name="_Toc164268364"/>
      <w:r w:rsidRPr="00B14C47">
        <w:rPr>
          <w:rFonts w:ascii="Arial" w:hAnsi="Arial" w:cs="Arial"/>
          <w:i/>
          <w:sz w:val="20"/>
          <w:szCs w:val="20"/>
          <w:lang w:val="bg-BG"/>
        </w:rPr>
        <w:t>С</w:t>
      </w:r>
      <w:bookmarkEnd w:id="108"/>
      <w:r w:rsidRPr="00B14C47">
        <w:rPr>
          <w:rFonts w:ascii="Arial" w:hAnsi="Arial" w:cs="Arial"/>
          <w:i/>
          <w:sz w:val="20"/>
          <w:szCs w:val="20"/>
          <w:lang w:val="bg-BG"/>
        </w:rPr>
        <w:t>ВЪРЗАНИ ЛИЦА И СДЕЛКИ МЕЖДУ ТЯХ</w:t>
      </w:r>
      <w:bookmarkEnd w:id="109"/>
    </w:p>
    <w:p w14:paraId="0C77E8EB" w14:textId="77777777" w:rsidR="00B66DF8" w:rsidRPr="00B14C47" w:rsidRDefault="00B66DF8" w:rsidP="00B66DF8">
      <w:pPr>
        <w:rPr>
          <w:rFonts w:ascii="Arial" w:hAnsi="Arial" w:cs="Arial"/>
          <w:sz w:val="20"/>
        </w:rPr>
      </w:pPr>
      <w:r w:rsidRPr="00B14C47">
        <w:rPr>
          <w:rFonts w:ascii="Arial" w:hAnsi="Arial" w:cs="Arial"/>
          <w:sz w:val="20"/>
        </w:rPr>
        <w:t xml:space="preserve">Дружеството спазва изискванията на МСС 24 при определяне и оповестяване на свързаните лица. </w:t>
      </w:r>
    </w:p>
    <w:p w14:paraId="6F2F2761" w14:textId="77777777" w:rsidR="00B66DF8" w:rsidRPr="00B14C47" w:rsidRDefault="00B66DF8" w:rsidP="00B66DF8">
      <w:pPr>
        <w:rPr>
          <w:rFonts w:ascii="Arial" w:hAnsi="Arial" w:cs="Arial"/>
          <w:sz w:val="20"/>
        </w:rPr>
      </w:pPr>
      <w:r w:rsidRPr="00B14C47">
        <w:rPr>
          <w:rFonts w:ascii="Arial" w:hAnsi="Arial" w:cs="Arial"/>
          <w:sz w:val="20"/>
        </w:rPr>
        <w:t>Сделка между свързани лица е прехвърляне на ресурси, услуги или задължения между свързани лица без разлика на това дали се прилага някаква цена.</w:t>
      </w:r>
    </w:p>
    <w:p w14:paraId="7F06B44A" w14:textId="4BB55C75" w:rsidR="00C13396" w:rsidRDefault="00C13396" w:rsidP="00C13396">
      <w:bookmarkStart w:id="110" w:name="_Toc247959159"/>
    </w:p>
    <w:p w14:paraId="07A8C043" w14:textId="6FE46FF4" w:rsidR="00663CB5" w:rsidRDefault="00663CB5" w:rsidP="00C13396"/>
    <w:p w14:paraId="29A7C486" w14:textId="77777777" w:rsidR="00663CB5" w:rsidRPr="00B14C47" w:rsidRDefault="00663CB5" w:rsidP="00C13396"/>
    <w:p w14:paraId="3F3F650E" w14:textId="77777777" w:rsidR="00C13396" w:rsidRPr="00B14C47" w:rsidRDefault="00C13396" w:rsidP="00C13396"/>
    <w:p w14:paraId="7E14B2C2" w14:textId="77777777" w:rsidR="00C13396" w:rsidRPr="00B14C47" w:rsidRDefault="00C13396" w:rsidP="00C13396"/>
    <w:p w14:paraId="7B1AB329" w14:textId="77777777" w:rsidR="0023120E" w:rsidRPr="00B14C47" w:rsidRDefault="0023120E" w:rsidP="00C13396"/>
    <w:p w14:paraId="4A58214F" w14:textId="77777777" w:rsidR="00AB5445" w:rsidRPr="00B14C47" w:rsidRDefault="00AB5445" w:rsidP="00C13396"/>
    <w:p w14:paraId="32029F74" w14:textId="77777777" w:rsidR="00AB5445" w:rsidRPr="00B14C47" w:rsidRDefault="00AB5445" w:rsidP="00C13396"/>
    <w:p w14:paraId="61912BFC" w14:textId="77777777" w:rsidR="00B66DF8" w:rsidRPr="00B14C47" w:rsidRDefault="00B66DF8" w:rsidP="00B66DF8">
      <w:pPr>
        <w:pStyle w:val="Heading1"/>
        <w:spacing w:before="0"/>
        <w:rPr>
          <w:rFonts w:ascii="Arial" w:hAnsi="Arial" w:cs="Arial"/>
          <w:snapToGrid w:val="0"/>
          <w:sz w:val="20"/>
          <w:szCs w:val="20"/>
          <w:lang w:val="bg-BG"/>
        </w:rPr>
      </w:pPr>
      <w:bookmarkStart w:id="111" w:name="_Toc164268365"/>
      <w:r w:rsidRPr="00B14C47">
        <w:rPr>
          <w:rFonts w:ascii="Arial" w:hAnsi="Arial" w:cs="Arial"/>
          <w:snapToGrid w:val="0"/>
          <w:sz w:val="20"/>
          <w:szCs w:val="20"/>
          <w:lang w:val="bg-BG"/>
        </w:rPr>
        <w:t>III. Д</w:t>
      </w:r>
      <w:bookmarkEnd w:id="110"/>
      <w:r w:rsidRPr="00B14C47">
        <w:rPr>
          <w:rFonts w:ascii="Arial" w:hAnsi="Arial" w:cs="Arial"/>
          <w:snapToGrid w:val="0"/>
          <w:sz w:val="20"/>
          <w:szCs w:val="20"/>
          <w:lang w:val="bg-BG"/>
        </w:rPr>
        <w:t xml:space="preserve">ОПЪЛНИТЕЛНА ИНФОРМАЦИЯ КЪМ СТАТИИТЕ НА </w:t>
      </w:r>
      <w:r w:rsidR="0053726D" w:rsidRPr="00B14C47">
        <w:rPr>
          <w:rFonts w:ascii="Arial" w:hAnsi="Arial" w:cs="Arial"/>
          <w:snapToGrid w:val="0"/>
          <w:sz w:val="20"/>
          <w:szCs w:val="20"/>
          <w:lang w:val="bg-BG"/>
        </w:rPr>
        <w:t xml:space="preserve">ИНДИВИДУАЛНИЯ </w:t>
      </w:r>
      <w:r w:rsidRPr="00B14C47">
        <w:rPr>
          <w:rFonts w:ascii="Arial" w:hAnsi="Arial" w:cs="Arial"/>
          <w:snapToGrid w:val="0"/>
          <w:sz w:val="20"/>
          <w:szCs w:val="20"/>
          <w:lang w:val="bg-BG"/>
        </w:rPr>
        <w:t>ФИНАНСОВ ОТЧЕТ</w:t>
      </w:r>
      <w:bookmarkEnd w:id="111"/>
    </w:p>
    <w:p w14:paraId="19515CFB" w14:textId="77777777" w:rsidR="00B66DF8" w:rsidRPr="00B14C47" w:rsidRDefault="00B66DF8" w:rsidP="00B66DF8">
      <w:pPr>
        <w:pStyle w:val="Heading2"/>
        <w:rPr>
          <w:rFonts w:ascii="Arial" w:hAnsi="Arial" w:cs="Arial"/>
          <w:i/>
          <w:sz w:val="20"/>
          <w:szCs w:val="20"/>
          <w:u w:val="single"/>
          <w:lang w:val="bg-BG"/>
        </w:rPr>
      </w:pPr>
      <w:bookmarkStart w:id="112" w:name="_Toc247959160"/>
      <w:bookmarkStart w:id="113" w:name="_Toc314519579"/>
      <w:bookmarkStart w:id="114" w:name="_Toc164268366"/>
      <w:r w:rsidRPr="00B14C47">
        <w:rPr>
          <w:rFonts w:ascii="Arial" w:hAnsi="Arial" w:cs="Arial"/>
          <w:i/>
          <w:sz w:val="20"/>
          <w:szCs w:val="20"/>
          <w:u w:val="single"/>
          <w:lang w:val="bg-BG"/>
        </w:rPr>
        <w:t>1</w:t>
      </w:r>
      <w:r w:rsidR="008402AB" w:rsidRPr="00B14C47">
        <w:rPr>
          <w:rFonts w:ascii="Arial" w:hAnsi="Arial" w:cs="Arial"/>
          <w:i/>
          <w:color w:val="auto"/>
          <w:sz w:val="20"/>
          <w:szCs w:val="20"/>
          <w:u w:val="single"/>
          <w:lang w:val="bg-BG"/>
        </w:rPr>
        <w:t>.</w:t>
      </w:r>
      <w:r w:rsidR="008402AB" w:rsidRPr="00B14C47">
        <w:rPr>
          <w:rFonts w:ascii="Arial" w:hAnsi="Arial" w:cs="Arial"/>
          <w:i/>
          <w:sz w:val="20"/>
          <w:szCs w:val="20"/>
          <w:u w:val="single"/>
          <w:lang w:val="bg-BG"/>
        </w:rPr>
        <w:t xml:space="preserve">Индивидуален отчет </w:t>
      </w:r>
      <w:r w:rsidRPr="00B14C47">
        <w:rPr>
          <w:rFonts w:ascii="Arial" w:hAnsi="Arial" w:cs="Arial"/>
          <w:i/>
          <w:sz w:val="20"/>
          <w:szCs w:val="20"/>
          <w:u w:val="single"/>
          <w:lang w:val="bg-BG"/>
        </w:rPr>
        <w:t xml:space="preserve">за </w:t>
      </w:r>
      <w:bookmarkEnd w:id="112"/>
      <w:bookmarkEnd w:id="113"/>
      <w:r w:rsidRPr="00B14C47">
        <w:rPr>
          <w:rFonts w:ascii="Arial" w:hAnsi="Arial" w:cs="Arial"/>
          <w:i/>
          <w:sz w:val="20"/>
          <w:szCs w:val="20"/>
          <w:u w:val="single"/>
          <w:lang w:val="bg-BG"/>
        </w:rPr>
        <w:t>печалбата или загубата и другия всеобхватен доход</w:t>
      </w:r>
      <w:bookmarkEnd w:id="114"/>
    </w:p>
    <w:p w14:paraId="6168DB61" w14:textId="77777777" w:rsidR="007F67D2" w:rsidRPr="00B14C47" w:rsidRDefault="007F67D2" w:rsidP="007F67D2">
      <w:bookmarkStart w:id="115" w:name="_Toc247959162"/>
      <w:bookmarkStart w:id="116" w:name="_Toc314519581"/>
    </w:p>
    <w:p w14:paraId="7CFAB86A" w14:textId="77777777" w:rsidR="00B66DF8" w:rsidRDefault="00B66DF8" w:rsidP="0084200D">
      <w:pPr>
        <w:pStyle w:val="Heading4"/>
        <w:numPr>
          <w:ilvl w:val="1"/>
          <w:numId w:val="27"/>
        </w:numPr>
        <w:rPr>
          <w:rFonts w:ascii="Arial" w:hAnsi="Arial" w:cs="Arial"/>
          <w:lang w:val="bg-BG"/>
        </w:rPr>
      </w:pPr>
      <w:bookmarkStart w:id="117" w:name="_Toc247959166"/>
      <w:bookmarkStart w:id="118" w:name="_Toc314519585"/>
      <w:bookmarkStart w:id="119" w:name="_Toc164268367"/>
      <w:bookmarkEnd w:id="115"/>
      <w:bookmarkEnd w:id="116"/>
      <w:r w:rsidRPr="00B14C47">
        <w:rPr>
          <w:rFonts w:ascii="Arial" w:hAnsi="Arial" w:cs="Arial"/>
          <w:lang w:val="bg-BG"/>
        </w:rPr>
        <w:t>Разходи за външни услуги</w:t>
      </w:r>
      <w:bookmarkEnd w:id="117"/>
      <w:bookmarkEnd w:id="118"/>
      <w:bookmarkEnd w:id="119"/>
    </w:p>
    <w:tbl>
      <w:tblPr>
        <w:tblW w:w="5000" w:type="pct"/>
        <w:tblCellMar>
          <w:left w:w="70" w:type="dxa"/>
          <w:right w:w="70" w:type="dxa"/>
        </w:tblCellMar>
        <w:tblLook w:val="04A0" w:firstRow="1" w:lastRow="0" w:firstColumn="1" w:lastColumn="0" w:noHBand="0" w:noVBand="1"/>
      </w:tblPr>
      <w:tblGrid>
        <w:gridCol w:w="5639"/>
        <w:gridCol w:w="1985"/>
        <w:gridCol w:w="1983"/>
      </w:tblGrid>
      <w:tr w:rsidR="0046182B" w:rsidRPr="0046182B" w14:paraId="40795459" w14:textId="77777777" w:rsidTr="00C64C55">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7CCF86F5" w14:textId="77777777" w:rsidR="0046182B" w:rsidRPr="0046182B" w:rsidRDefault="0046182B" w:rsidP="0046182B">
            <w:pPr>
              <w:jc w:val="left"/>
              <w:rPr>
                <w:rFonts w:ascii="Arial" w:hAnsi="Arial" w:cs="Arial"/>
                <w:b/>
                <w:bCs/>
                <w:sz w:val="20"/>
                <w:lang w:eastAsia="bg-BG"/>
              </w:rPr>
            </w:pPr>
            <w:r w:rsidRPr="0046182B">
              <w:rPr>
                <w:rFonts w:ascii="Arial" w:hAnsi="Arial" w:cs="Arial"/>
                <w:b/>
                <w:bCs/>
                <w:sz w:val="20"/>
                <w:lang w:eastAsia="bg-BG"/>
              </w:rPr>
              <w:t>Разходи за външни услуги</w:t>
            </w:r>
          </w:p>
        </w:tc>
      </w:tr>
      <w:tr w:rsidR="0046182B" w:rsidRPr="0046182B" w14:paraId="0783985A" w14:textId="77777777" w:rsidTr="00C64C55">
        <w:trPr>
          <w:trHeight w:val="255"/>
        </w:trPr>
        <w:tc>
          <w:tcPr>
            <w:tcW w:w="2935" w:type="pct"/>
            <w:tcBorders>
              <w:top w:val="nil"/>
              <w:left w:val="single" w:sz="4" w:space="0" w:color="auto"/>
              <w:bottom w:val="single" w:sz="4" w:space="0" w:color="auto"/>
              <w:right w:val="nil"/>
            </w:tcBorders>
            <w:shd w:val="clear" w:color="auto" w:fill="auto"/>
            <w:noWrap/>
            <w:vAlign w:val="bottom"/>
            <w:hideMark/>
          </w:tcPr>
          <w:p w14:paraId="09A5B12D" w14:textId="77777777" w:rsidR="0046182B" w:rsidRPr="0046182B" w:rsidRDefault="0046182B" w:rsidP="0046182B">
            <w:pPr>
              <w:jc w:val="left"/>
              <w:rPr>
                <w:rFonts w:ascii="Arial" w:hAnsi="Arial" w:cs="Arial"/>
                <w:b/>
                <w:bCs/>
                <w:sz w:val="20"/>
                <w:lang w:eastAsia="bg-BG"/>
              </w:rPr>
            </w:pPr>
            <w:r w:rsidRPr="0046182B">
              <w:rPr>
                <w:rFonts w:ascii="Arial" w:hAnsi="Arial" w:cs="Arial"/>
                <w:b/>
                <w:bCs/>
                <w:sz w:val="20"/>
                <w:lang w:eastAsia="bg-BG"/>
              </w:rPr>
              <w:t>Вид разход</w:t>
            </w:r>
          </w:p>
        </w:tc>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348AD2D5" w14:textId="77777777" w:rsidR="0046182B" w:rsidRPr="0046182B" w:rsidRDefault="0046182B" w:rsidP="0046182B">
            <w:pPr>
              <w:jc w:val="center"/>
              <w:rPr>
                <w:rFonts w:ascii="Arial" w:hAnsi="Arial" w:cs="Arial"/>
                <w:b/>
                <w:bCs/>
                <w:sz w:val="20"/>
                <w:lang w:eastAsia="bg-BG"/>
              </w:rPr>
            </w:pPr>
            <w:r w:rsidRPr="0046182B">
              <w:rPr>
                <w:rFonts w:ascii="Arial" w:hAnsi="Arial" w:cs="Arial"/>
                <w:b/>
                <w:bCs/>
                <w:sz w:val="20"/>
                <w:lang w:eastAsia="bg-BG"/>
              </w:rPr>
              <w:t>30.6.2024 г.</w:t>
            </w:r>
          </w:p>
        </w:tc>
        <w:tc>
          <w:tcPr>
            <w:tcW w:w="1033" w:type="pct"/>
            <w:tcBorders>
              <w:top w:val="nil"/>
              <w:left w:val="nil"/>
              <w:bottom w:val="single" w:sz="4" w:space="0" w:color="auto"/>
              <w:right w:val="single" w:sz="4" w:space="0" w:color="auto"/>
            </w:tcBorders>
            <w:shd w:val="clear" w:color="auto" w:fill="auto"/>
            <w:noWrap/>
            <w:vAlign w:val="bottom"/>
            <w:hideMark/>
          </w:tcPr>
          <w:p w14:paraId="4CC6F3CB" w14:textId="77777777" w:rsidR="0046182B" w:rsidRPr="0046182B" w:rsidRDefault="0046182B" w:rsidP="0046182B">
            <w:pPr>
              <w:jc w:val="center"/>
              <w:rPr>
                <w:rFonts w:ascii="Arial" w:hAnsi="Arial" w:cs="Arial"/>
                <w:b/>
                <w:bCs/>
                <w:sz w:val="20"/>
                <w:lang w:eastAsia="bg-BG"/>
              </w:rPr>
            </w:pPr>
            <w:r w:rsidRPr="0046182B">
              <w:rPr>
                <w:rFonts w:ascii="Arial" w:hAnsi="Arial" w:cs="Arial"/>
                <w:b/>
                <w:bCs/>
                <w:sz w:val="20"/>
                <w:lang w:eastAsia="bg-BG"/>
              </w:rPr>
              <w:t>30.6.2023 г.</w:t>
            </w:r>
          </w:p>
        </w:tc>
      </w:tr>
      <w:tr w:rsidR="0046182B" w:rsidRPr="0046182B" w14:paraId="2EAE8418" w14:textId="77777777" w:rsidTr="00C64C55">
        <w:trPr>
          <w:trHeight w:val="255"/>
        </w:trPr>
        <w:tc>
          <w:tcPr>
            <w:tcW w:w="2935" w:type="pct"/>
            <w:tcBorders>
              <w:top w:val="nil"/>
              <w:left w:val="single" w:sz="4" w:space="0" w:color="auto"/>
              <w:bottom w:val="single" w:sz="4" w:space="0" w:color="auto"/>
              <w:right w:val="nil"/>
            </w:tcBorders>
            <w:shd w:val="clear" w:color="auto" w:fill="auto"/>
            <w:noWrap/>
            <w:vAlign w:val="bottom"/>
            <w:hideMark/>
          </w:tcPr>
          <w:p w14:paraId="5E7873DC" w14:textId="77777777" w:rsidR="0046182B" w:rsidRPr="0046182B" w:rsidRDefault="0046182B" w:rsidP="0046182B">
            <w:pPr>
              <w:jc w:val="left"/>
              <w:rPr>
                <w:rFonts w:ascii="Arial" w:hAnsi="Arial" w:cs="Arial"/>
                <w:sz w:val="20"/>
                <w:lang w:eastAsia="bg-BG"/>
              </w:rPr>
            </w:pPr>
            <w:r w:rsidRPr="0046182B">
              <w:rPr>
                <w:rFonts w:ascii="Arial" w:hAnsi="Arial" w:cs="Arial"/>
                <w:sz w:val="20"/>
                <w:lang w:eastAsia="bg-BG"/>
              </w:rPr>
              <w:t>Други разходи за външни услуги</w:t>
            </w:r>
          </w:p>
        </w:tc>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4E019D7B" w14:textId="77777777" w:rsidR="0046182B" w:rsidRPr="0046182B" w:rsidRDefault="0046182B" w:rsidP="0046182B">
            <w:pPr>
              <w:jc w:val="left"/>
              <w:rPr>
                <w:rFonts w:ascii="Arial" w:hAnsi="Arial" w:cs="Arial"/>
                <w:sz w:val="20"/>
                <w:lang w:eastAsia="bg-BG"/>
              </w:rPr>
            </w:pPr>
            <w:r w:rsidRPr="0046182B">
              <w:rPr>
                <w:rFonts w:ascii="Arial" w:hAnsi="Arial" w:cs="Arial"/>
                <w:sz w:val="20"/>
                <w:lang w:eastAsia="bg-BG"/>
              </w:rPr>
              <w:t> </w:t>
            </w:r>
          </w:p>
        </w:tc>
        <w:tc>
          <w:tcPr>
            <w:tcW w:w="1033" w:type="pct"/>
            <w:tcBorders>
              <w:top w:val="nil"/>
              <w:left w:val="nil"/>
              <w:bottom w:val="single" w:sz="4" w:space="0" w:color="auto"/>
              <w:right w:val="single" w:sz="4" w:space="0" w:color="auto"/>
            </w:tcBorders>
            <w:shd w:val="clear" w:color="auto" w:fill="auto"/>
            <w:noWrap/>
            <w:vAlign w:val="bottom"/>
            <w:hideMark/>
          </w:tcPr>
          <w:p w14:paraId="2F035A5E" w14:textId="77777777" w:rsidR="0046182B" w:rsidRPr="0046182B" w:rsidRDefault="0046182B" w:rsidP="0046182B">
            <w:pPr>
              <w:jc w:val="left"/>
              <w:rPr>
                <w:rFonts w:ascii="Arial" w:hAnsi="Arial" w:cs="Arial"/>
                <w:sz w:val="20"/>
                <w:lang w:eastAsia="bg-BG"/>
              </w:rPr>
            </w:pPr>
            <w:r w:rsidRPr="0046182B">
              <w:rPr>
                <w:rFonts w:ascii="Arial" w:hAnsi="Arial" w:cs="Arial"/>
                <w:sz w:val="20"/>
                <w:lang w:eastAsia="bg-BG"/>
              </w:rPr>
              <w:t xml:space="preserve">                 1 </w:t>
            </w:r>
          </w:p>
        </w:tc>
      </w:tr>
      <w:tr w:rsidR="0046182B" w:rsidRPr="0046182B" w14:paraId="21896CC3" w14:textId="77777777" w:rsidTr="00C64C55">
        <w:trPr>
          <w:trHeight w:val="255"/>
        </w:trPr>
        <w:tc>
          <w:tcPr>
            <w:tcW w:w="2935" w:type="pct"/>
            <w:tcBorders>
              <w:top w:val="nil"/>
              <w:left w:val="single" w:sz="4" w:space="0" w:color="auto"/>
              <w:bottom w:val="single" w:sz="4" w:space="0" w:color="auto"/>
              <w:right w:val="nil"/>
            </w:tcBorders>
            <w:shd w:val="clear" w:color="auto" w:fill="auto"/>
            <w:noWrap/>
            <w:vAlign w:val="bottom"/>
            <w:hideMark/>
          </w:tcPr>
          <w:p w14:paraId="780E4C2E" w14:textId="23B20E18" w:rsidR="0046182B" w:rsidRPr="0046182B" w:rsidRDefault="0046182B" w:rsidP="0046182B">
            <w:pPr>
              <w:jc w:val="left"/>
              <w:rPr>
                <w:rFonts w:ascii="Arial" w:hAnsi="Arial" w:cs="Arial"/>
                <w:sz w:val="20"/>
                <w:lang w:eastAsia="bg-BG"/>
              </w:rPr>
            </w:pPr>
            <w:r w:rsidRPr="0046182B">
              <w:rPr>
                <w:rFonts w:ascii="Arial" w:hAnsi="Arial" w:cs="Arial"/>
                <w:sz w:val="20"/>
                <w:lang w:eastAsia="bg-BG"/>
              </w:rPr>
              <w:t>Такси БФБ</w:t>
            </w:r>
            <w:r w:rsidR="003F0CE5">
              <w:rPr>
                <w:rFonts w:ascii="Arial" w:hAnsi="Arial" w:cs="Arial"/>
                <w:sz w:val="20"/>
                <w:lang w:eastAsia="bg-BG"/>
              </w:rPr>
              <w:t xml:space="preserve"> АД</w:t>
            </w:r>
            <w:r w:rsidRPr="0046182B">
              <w:rPr>
                <w:rFonts w:ascii="Arial" w:hAnsi="Arial" w:cs="Arial"/>
                <w:sz w:val="20"/>
                <w:lang w:eastAsia="bg-BG"/>
              </w:rPr>
              <w:t>,</w:t>
            </w:r>
            <w:r w:rsidR="003F0CE5">
              <w:rPr>
                <w:rFonts w:ascii="Arial" w:hAnsi="Arial" w:cs="Arial"/>
                <w:sz w:val="20"/>
                <w:lang w:eastAsia="bg-BG"/>
              </w:rPr>
              <w:t xml:space="preserve"> КФН, </w:t>
            </w:r>
            <w:r w:rsidRPr="0046182B">
              <w:rPr>
                <w:rFonts w:ascii="Arial" w:hAnsi="Arial" w:cs="Arial"/>
                <w:sz w:val="20"/>
                <w:lang w:eastAsia="bg-BG"/>
              </w:rPr>
              <w:t>Централен депозитар</w:t>
            </w:r>
            <w:r w:rsidR="003F0CE5">
              <w:rPr>
                <w:rFonts w:ascii="Arial" w:hAnsi="Arial" w:cs="Arial"/>
                <w:sz w:val="20"/>
                <w:lang w:eastAsia="bg-BG"/>
              </w:rPr>
              <w:t xml:space="preserve"> АД</w:t>
            </w:r>
          </w:p>
        </w:tc>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578D7B25" w14:textId="77777777" w:rsidR="0046182B" w:rsidRPr="0046182B" w:rsidRDefault="0046182B" w:rsidP="0046182B">
            <w:pPr>
              <w:jc w:val="left"/>
              <w:rPr>
                <w:rFonts w:ascii="Arial" w:hAnsi="Arial" w:cs="Arial"/>
                <w:sz w:val="20"/>
                <w:lang w:eastAsia="bg-BG"/>
              </w:rPr>
            </w:pPr>
            <w:r w:rsidRPr="0046182B">
              <w:rPr>
                <w:rFonts w:ascii="Arial" w:hAnsi="Arial" w:cs="Arial"/>
                <w:sz w:val="20"/>
                <w:lang w:eastAsia="bg-BG"/>
              </w:rPr>
              <w:t xml:space="preserve">                 4 </w:t>
            </w:r>
          </w:p>
        </w:tc>
        <w:tc>
          <w:tcPr>
            <w:tcW w:w="1033" w:type="pct"/>
            <w:tcBorders>
              <w:top w:val="nil"/>
              <w:left w:val="nil"/>
              <w:bottom w:val="single" w:sz="4" w:space="0" w:color="auto"/>
              <w:right w:val="single" w:sz="4" w:space="0" w:color="auto"/>
            </w:tcBorders>
            <w:shd w:val="clear" w:color="auto" w:fill="auto"/>
            <w:noWrap/>
            <w:vAlign w:val="bottom"/>
            <w:hideMark/>
          </w:tcPr>
          <w:p w14:paraId="69BA0CC9" w14:textId="77777777" w:rsidR="0046182B" w:rsidRPr="0046182B" w:rsidRDefault="0046182B" w:rsidP="0046182B">
            <w:pPr>
              <w:jc w:val="left"/>
              <w:rPr>
                <w:rFonts w:ascii="Arial" w:hAnsi="Arial" w:cs="Arial"/>
                <w:sz w:val="20"/>
                <w:lang w:eastAsia="bg-BG"/>
              </w:rPr>
            </w:pPr>
            <w:r w:rsidRPr="0046182B">
              <w:rPr>
                <w:rFonts w:ascii="Arial" w:hAnsi="Arial" w:cs="Arial"/>
                <w:sz w:val="20"/>
                <w:lang w:eastAsia="bg-BG"/>
              </w:rPr>
              <w:t xml:space="preserve">                 4 </w:t>
            </w:r>
          </w:p>
        </w:tc>
      </w:tr>
      <w:tr w:rsidR="0046182B" w:rsidRPr="0046182B" w14:paraId="2E837905" w14:textId="77777777" w:rsidTr="00C64C55">
        <w:trPr>
          <w:trHeight w:val="255"/>
        </w:trPr>
        <w:tc>
          <w:tcPr>
            <w:tcW w:w="2935" w:type="pct"/>
            <w:tcBorders>
              <w:top w:val="nil"/>
              <w:left w:val="single" w:sz="4" w:space="0" w:color="auto"/>
              <w:bottom w:val="single" w:sz="4" w:space="0" w:color="auto"/>
              <w:right w:val="nil"/>
            </w:tcBorders>
            <w:shd w:val="clear" w:color="000000" w:fill="00AEEF"/>
            <w:noWrap/>
            <w:vAlign w:val="bottom"/>
            <w:hideMark/>
          </w:tcPr>
          <w:p w14:paraId="301E4457" w14:textId="77777777" w:rsidR="0046182B" w:rsidRPr="0046182B" w:rsidRDefault="0046182B" w:rsidP="0046182B">
            <w:pPr>
              <w:jc w:val="left"/>
              <w:rPr>
                <w:rFonts w:ascii="Arial" w:hAnsi="Arial" w:cs="Arial"/>
                <w:b/>
                <w:bCs/>
                <w:sz w:val="20"/>
                <w:lang w:eastAsia="bg-BG"/>
              </w:rPr>
            </w:pPr>
            <w:r w:rsidRPr="0046182B">
              <w:rPr>
                <w:rFonts w:ascii="Arial" w:hAnsi="Arial" w:cs="Arial"/>
                <w:b/>
                <w:bCs/>
                <w:sz w:val="20"/>
                <w:lang w:eastAsia="bg-BG"/>
              </w:rPr>
              <w:t>Общо</w:t>
            </w:r>
          </w:p>
        </w:tc>
        <w:tc>
          <w:tcPr>
            <w:tcW w:w="1033" w:type="pct"/>
            <w:tcBorders>
              <w:top w:val="nil"/>
              <w:left w:val="single" w:sz="4" w:space="0" w:color="auto"/>
              <w:bottom w:val="single" w:sz="4" w:space="0" w:color="auto"/>
              <w:right w:val="single" w:sz="4" w:space="0" w:color="auto"/>
            </w:tcBorders>
            <w:shd w:val="clear" w:color="000000" w:fill="00AEEF"/>
            <w:noWrap/>
            <w:vAlign w:val="bottom"/>
            <w:hideMark/>
          </w:tcPr>
          <w:p w14:paraId="14308CBC" w14:textId="77777777" w:rsidR="0046182B" w:rsidRPr="0046182B" w:rsidRDefault="0046182B" w:rsidP="0046182B">
            <w:pPr>
              <w:jc w:val="left"/>
              <w:rPr>
                <w:rFonts w:ascii="Arial" w:hAnsi="Arial" w:cs="Arial"/>
                <w:b/>
                <w:bCs/>
                <w:sz w:val="20"/>
                <w:lang w:eastAsia="bg-BG"/>
              </w:rPr>
            </w:pPr>
            <w:r w:rsidRPr="0046182B">
              <w:rPr>
                <w:rFonts w:ascii="Arial" w:hAnsi="Arial" w:cs="Arial"/>
                <w:b/>
                <w:bCs/>
                <w:sz w:val="20"/>
                <w:lang w:eastAsia="bg-BG"/>
              </w:rPr>
              <w:t xml:space="preserve">                 4 </w:t>
            </w:r>
          </w:p>
        </w:tc>
        <w:tc>
          <w:tcPr>
            <w:tcW w:w="1033" w:type="pct"/>
            <w:tcBorders>
              <w:top w:val="nil"/>
              <w:left w:val="nil"/>
              <w:bottom w:val="single" w:sz="4" w:space="0" w:color="auto"/>
              <w:right w:val="single" w:sz="4" w:space="0" w:color="auto"/>
            </w:tcBorders>
            <w:shd w:val="clear" w:color="000000" w:fill="00AEEF"/>
            <w:noWrap/>
            <w:vAlign w:val="bottom"/>
            <w:hideMark/>
          </w:tcPr>
          <w:p w14:paraId="2593B495" w14:textId="77777777" w:rsidR="0046182B" w:rsidRPr="0046182B" w:rsidRDefault="0046182B" w:rsidP="0046182B">
            <w:pPr>
              <w:jc w:val="left"/>
              <w:rPr>
                <w:rFonts w:ascii="Arial" w:hAnsi="Arial" w:cs="Arial"/>
                <w:b/>
                <w:bCs/>
                <w:sz w:val="20"/>
                <w:lang w:eastAsia="bg-BG"/>
              </w:rPr>
            </w:pPr>
            <w:r w:rsidRPr="0046182B">
              <w:rPr>
                <w:rFonts w:ascii="Arial" w:hAnsi="Arial" w:cs="Arial"/>
                <w:b/>
                <w:bCs/>
                <w:sz w:val="20"/>
                <w:lang w:eastAsia="bg-BG"/>
              </w:rPr>
              <w:t xml:space="preserve">                 5 </w:t>
            </w:r>
          </w:p>
        </w:tc>
      </w:tr>
    </w:tbl>
    <w:p w14:paraId="4149FB8D" w14:textId="77777777" w:rsidR="0046182B" w:rsidRDefault="0046182B" w:rsidP="0046182B"/>
    <w:p w14:paraId="4E441AED" w14:textId="77777777" w:rsidR="0046182B" w:rsidRDefault="0046182B" w:rsidP="0046182B"/>
    <w:p w14:paraId="39451C45" w14:textId="77777777" w:rsidR="00B66DF8" w:rsidRDefault="00B66DF8" w:rsidP="0084200D">
      <w:pPr>
        <w:pStyle w:val="Heading4"/>
        <w:numPr>
          <w:ilvl w:val="1"/>
          <w:numId w:val="27"/>
        </w:numPr>
        <w:rPr>
          <w:rFonts w:ascii="Arial" w:hAnsi="Arial" w:cs="Arial"/>
          <w:lang w:val="bg-BG"/>
        </w:rPr>
      </w:pPr>
      <w:bookmarkStart w:id="120" w:name="_Toc247959168"/>
      <w:bookmarkStart w:id="121" w:name="_Toc314519587"/>
      <w:bookmarkStart w:id="122" w:name="_Toc164268368"/>
      <w:r w:rsidRPr="00B14C47">
        <w:rPr>
          <w:rFonts w:ascii="Arial" w:hAnsi="Arial" w:cs="Arial"/>
          <w:lang w:val="bg-BG"/>
        </w:rPr>
        <w:t>Разходи за персонала</w:t>
      </w:r>
      <w:bookmarkEnd w:id="120"/>
      <w:bookmarkEnd w:id="121"/>
      <w:bookmarkEnd w:id="122"/>
    </w:p>
    <w:p w14:paraId="09356943" w14:textId="77777777" w:rsidR="00C64C55" w:rsidRDefault="00C64C55" w:rsidP="00C64C55"/>
    <w:tbl>
      <w:tblPr>
        <w:tblW w:w="5000" w:type="pct"/>
        <w:tblCellMar>
          <w:left w:w="70" w:type="dxa"/>
          <w:right w:w="70" w:type="dxa"/>
        </w:tblCellMar>
        <w:tblLook w:val="04A0" w:firstRow="1" w:lastRow="0" w:firstColumn="1" w:lastColumn="0" w:noHBand="0" w:noVBand="1"/>
      </w:tblPr>
      <w:tblGrid>
        <w:gridCol w:w="5447"/>
        <w:gridCol w:w="2081"/>
        <w:gridCol w:w="2079"/>
      </w:tblGrid>
      <w:tr w:rsidR="00C64C55" w:rsidRPr="00C64C55" w14:paraId="4EA895EC" w14:textId="77777777" w:rsidTr="00C64C55">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57D62DD1"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Разходи за персонал</w:t>
            </w:r>
          </w:p>
        </w:tc>
      </w:tr>
      <w:tr w:rsidR="00C64C55" w:rsidRPr="00C64C55" w14:paraId="6DB43636" w14:textId="77777777" w:rsidTr="00C64C55">
        <w:trPr>
          <w:trHeight w:val="255"/>
        </w:trPr>
        <w:tc>
          <w:tcPr>
            <w:tcW w:w="2835" w:type="pct"/>
            <w:tcBorders>
              <w:top w:val="nil"/>
              <w:left w:val="single" w:sz="4" w:space="0" w:color="auto"/>
              <w:bottom w:val="single" w:sz="4" w:space="0" w:color="auto"/>
              <w:right w:val="nil"/>
            </w:tcBorders>
            <w:shd w:val="clear" w:color="auto" w:fill="auto"/>
            <w:noWrap/>
            <w:vAlign w:val="bottom"/>
            <w:hideMark/>
          </w:tcPr>
          <w:p w14:paraId="348C6743"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Разходи за:</w:t>
            </w:r>
          </w:p>
        </w:tc>
        <w:tc>
          <w:tcPr>
            <w:tcW w:w="1083" w:type="pct"/>
            <w:tcBorders>
              <w:top w:val="nil"/>
              <w:left w:val="single" w:sz="4" w:space="0" w:color="auto"/>
              <w:bottom w:val="single" w:sz="4" w:space="0" w:color="auto"/>
              <w:right w:val="single" w:sz="4" w:space="0" w:color="auto"/>
            </w:tcBorders>
            <w:shd w:val="clear" w:color="auto" w:fill="auto"/>
            <w:noWrap/>
            <w:vAlign w:val="bottom"/>
            <w:hideMark/>
          </w:tcPr>
          <w:p w14:paraId="096237BB"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30.6.2024 г.</w:t>
            </w:r>
          </w:p>
        </w:tc>
        <w:tc>
          <w:tcPr>
            <w:tcW w:w="1083" w:type="pct"/>
            <w:tcBorders>
              <w:top w:val="nil"/>
              <w:left w:val="nil"/>
              <w:bottom w:val="single" w:sz="4" w:space="0" w:color="auto"/>
              <w:right w:val="single" w:sz="4" w:space="0" w:color="auto"/>
            </w:tcBorders>
            <w:shd w:val="clear" w:color="auto" w:fill="auto"/>
            <w:noWrap/>
            <w:vAlign w:val="bottom"/>
            <w:hideMark/>
          </w:tcPr>
          <w:p w14:paraId="1800B1DD"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30.6.2023 г.</w:t>
            </w:r>
          </w:p>
        </w:tc>
      </w:tr>
      <w:tr w:rsidR="00C64C55" w:rsidRPr="00C64C55" w14:paraId="338F9D49" w14:textId="77777777" w:rsidTr="00C64C55">
        <w:trPr>
          <w:trHeight w:val="255"/>
        </w:trPr>
        <w:tc>
          <w:tcPr>
            <w:tcW w:w="2835" w:type="pct"/>
            <w:tcBorders>
              <w:top w:val="nil"/>
              <w:left w:val="single" w:sz="4" w:space="0" w:color="auto"/>
              <w:bottom w:val="single" w:sz="4" w:space="0" w:color="auto"/>
              <w:right w:val="nil"/>
            </w:tcBorders>
            <w:shd w:val="clear" w:color="auto" w:fill="auto"/>
            <w:noWrap/>
            <w:vAlign w:val="bottom"/>
            <w:hideMark/>
          </w:tcPr>
          <w:p w14:paraId="3590A809"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Разходи за заплати, в т.ч.:</w:t>
            </w:r>
          </w:p>
        </w:tc>
        <w:tc>
          <w:tcPr>
            <w:tcW w:w="1083" w:type="pct"/>
            <w:tcBorders>
              <w:top w:val="nil"/>
              <w:left w:val="single" w:sz="4" w:space="0" w:color="auto"/>
              <w:bottom w:val="single" w:sz="4" w:space="0" w:color="auto"/>
              <w:right w:val="single" w:sz="4" w:space="0" w:color="auto"/>
            </w:tcBorders>
            <w:shd w:val="clear" w:color="auto" w:fill="auto"/>
            <w:noWrap/>
            <w:vAlign w:val="bottom"/>
            <w:hideMark/>
          </w:tcPr>
          <w:p w14:paraId="098B22D6"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3 </w:t>
            </w:r>
          </w:p>
        </w:tc>
        <w:tc>
          <w:tcPr>
            <w:tcW w:w="1083" w:type="pct"/>
            <w:tcBorders>
              <w:top w:val="nil"/>
              <w:left w:val="nil"/>
              <w:bottom w:val="single" w:sz="4" w:space="0" w:color="auto"/>
              <w:right w:val="single" w:sz="4" w:space="0" w:color="auto"/>
            </w:tcBorders>
            <w:shd w:val="clear" w:color="auto" w:fill="auto"/>
            <w:noWrap/>
            <w:vAlign w:val="bottom"/>
            <w:hideMark/>
          </w:tcPr>
          <w:p w14:paraId="39C41CBF"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2 </w:t>
            </w:r>
          </w:p>
        </w:tc>
      </w:tr>
      <w:tr w:rsidR="00C64C55" w:rsidRPr="00C64C55" w14:paraId="79BB5BEF" w14:textId="77777777" w:rsidTr="00C64C55">
        <w:trPr>
          <w:trHeight w:val="255"/>
        </w:trPr>
        <w:tc>
          <w:tcPr>
            <w:tcW w:w="2835" w:type="pct"/>
            <w:tcBorders>
              <w:top w:val="nil"/>
              <w:left w:val="single" w:sz="4" w:space="0" w:color="auto"/>
              <w:bottom w:val="single" w:sz="4" w:space="0" w:color="auto"/>
              <w:right w:val="nil"/>
            </w:tcBorders>
            <w:shd w:val="clear" w:color="auto" w:fill="auto"/>
            <w:noWrap/>
            <w:vAlign w:val="bottom"/>
            <w:hideMark/>
          </w:tcPr>
          <w:p w14:paraId="2791C174"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на административен персонал</w:t>
            </w:r>
          </w:p>
        </w:tc>
        <w:tc>
          <w:tcPr>
            <w:tcW w:w="1083" w:type="pct"/>
            <w:tcBorders>
              <w:top w:val="nil"/>
              <w:left w:val="single" w:sz="4" w:space="0" w:color="auto"/>
              <w:bottom w:val="single" w:sz="4" w:space="0" w:color="auto"/>
              <w:right w:val="single" w:sz="4" w:space="0" w:color="auto"/>
            </w:tcBorders>
            <w:shd w:val="clear" w:color="auto" w:fill="auto"/>
            <w:noWrap/>
            <w:vAlign w:val="bottom"/>
            <w:hideMark/>
          </w:tcPr>
          <w:p w14:paraId="1DB74101"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3 </w:t>
            </w:r>
          </w:p>
        </w:tc>
        <w:tc>
          <w:tcPr>
            <w:tcW w:w="1083" w:type="pct"/>
            <w:tcBorders>
              <w:top w:val="nil"/>
              <w:left w:val="nil"/>
              <w:bottom w:val="single" w:sz="4" w:space="0" w:color="auto"/>
              <w:right w:val="single" w:sz="4" w:space="0" w:color="auto"/>
            </w:tcBorders>
            <w:shd w:val="clear" w:color="auto" w:fill="auto"/>
            <w:noWrap/>
            <w:vAlign w:val="bottom"/>
            <w:hideMark/>
          </w:tcPr>
          <w:p w14:paraId="1A45903E"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2 </w:t>
            </w:r>
          </w:p>
        </w:tc>
      </w:tr>
      <w:tr w:rsidR="00C64C55" w:rsidRPr="00C64C55" w14:paraId="6F7D7754" w14:textId="77777777" w:rsidTr="00C64C55">
        <w:trPr>
          <w:trHeight w:val="255"/>
        </w:trPr>
        <w:tc>
          <w:tcPr>
            <w:tcW w:w="2835" w:type="pct"/>
            <w:tcBorders>
              <w:top w:val="nil"/>
              <w:left w:val="single" w:sz="4" w:space="0" w:color="auto"/>
              <w:bottom w:val="single" w:sz="4" w:space="0" w:color="auto"/>
              <w:right w:val="nil"/>
            </w:tcBorders>
            <w:shd w:val="clear" w:color="000000" w:fill="00AEEF"/>
            <w:noWrap/>
            <w:vAlign w:val="bottom"/>
            <w:hideMark/>
          </w:tcPr>
          <w:p w14:paraId="23C2CF9F"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Общо</w:t>
            </w:r>
          </w:p>
        </w:tc>
        <w:tc>
          <w:tcPr>
            <w:tcW w:w="1083" w:type="pct"/>
            <w:tcBorders>
              <w:top w:val="nil"/>
              <w:left w:val="single" w:sz="4" w:space="0" w:color="auto"/>
              <w:bottom w:val="single" w:sz="4" w:space="0" w:color="auto"/>
              <w:right w:val="single" w:sz="4" w:space="0" w:color="auto"/>
            </w:tcBorders>
            <w:shd w:val="clear" w:color="000000" w:fill="00AEEF"/>
            <w:noWrap/>
            <w:vAlign w:val="bottom"/>
            <w:hideMark/>
          </w:tcPr>
          <w:p w14:paraId="03A3BA8B"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3 </w:t>
            </w:r>
          </w:p>
        </w:tc>
        <w:tc>
          <w:tcPr>
            <w:tcW w:w="1083" w:type="pct"/>
            <w:tcBorders>
              <w:top w:val="nil"/>
              <w:left w:val="nil"/>
              <w:bottom w:val="single" w:sz="4" w:space="0" w:color="auto"/>
              <w:right w:val="single" w:sz="4" w:space="0" w:color="auto"/>
            </w:tcBorders>
            <w:shd w:val="clear" w:color="000000" w:fill="00AEEF"/>
            <w:noWrap/>
            <w:vAlign w:val="bottom"/>
            <w:hideMark/>
          </w:tcPr>
          <w:p w14:paraId="3B380751"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2 </w:t>
            </w:r>
          </w:p>
        </w:tc>
      </w:tr>
    </w:tbl>
    <w:p w14:paraId="006B9798" w14:textId="77777777" w:rsidR="00C64C55" w:rsidRPr="00C64C55" w:rsidRDefault="00C64C55" w:rsidP="00C64C55"/>
    <w:p w14:paraId="35702F9A" w14:textId="77777777" w:rsidR="00C874BE" w:rsidRDefault="00C874BE" w:rsidP="0084200D">
      <w:pPr>
        <w:pStyle w:val="Heading3"/>
        <w:numPr>
          <w:ilvl w:val="1"/>
          <w:numId w:val="27"/>
        </w:numPr>
        <w:rPr>
          <w:rFonts w:ascii="Arial" w:hAnsi="Arial" w:cs="Arial"/>
          <w:lang w:val="bg-BG"/>
        </w:rPr>
      </w:pPr>
      <w:bookmarkStart w:id="123" w:name="_Toc247959163"/>
      <w:bookmarkStart w:id="124" w:name="_Toc314519582"/>
      <w:bookmarkStart w:id="125" w:name="_Toc164268369"/>
      <w:bookmarkStart w:id="126" w:name="_Hlk510712219"/>
      <w:r w:rsidRPr="00B14C47">
        <w:rPr>
          <w:rFonts w:ascii="Arial" w:hAnsi="Arial" w:cs="Arial"/>
          <w:lang w:val="bg-BG"/>
        </w:rPr>
        <w:t>Финансови приходи</w:t>
      </w:r>
      <w:bookmarkEnd w:id="123"/>
      <w:bookmarkEnd w:id="124"/>
      <w:r w:rsidRPr="00B14C47">
        <w:rPr>
          <w:rFonts w:ascii="Arial" w:hAnsi="Arial" w:cs="Arial"/>
          <w:lang w:val="bg-BG"/>
        </w:rPr>
        <w:t xml:space="preserve"> и финансови разходи</w:t>
      </w:r>
      <w:bookmarkEnd w:id="125"/>
    </w:p>
    <w:p w14:paraId="2BFFE7EE" w14:textId="77777777" w:rsidR="00C64C55" w:rsidRDefault="00C64C55" w:rsidP="00C64C55"/>
    <w:tbl>
      <w:tblPr>
        <w:tblW w:w="5000" w:type="pct"/>
        <w:tblCellMar>
          <w:left w:w="70" w:type="dxa"/>
          <w:right w:w="70" w:type="dxa"/>
        </w:tblCellMar>
        <w:tblLook w:val="04A0" w:firstRow="1" w:lastRow="0" w:firstColumn="1" w:lastColumn="0" w:noHBand="0" w:noVBand="1"/>
      </w:tblPr>
      <w:tblGrid>
        <w:gridCol w:w="6193"/>
        <w:gridCol w:w="1708"/>
        <w:gridCol w:w="1706"/>
      </w:tblGrid>
      <w:tr w:rsidR="00C64C55" w:rsidRPr="00C64C55" w14:paraId="12EB04D3" w14:textId="77777777" w:rsidTr="00C64C55">
        <w:trPr>
          <w:trHeight w:val="46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4FA148"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Финансови приходи</w:t>
            </w:r>
          </w:p>
        </w:tc>
      </w:tr>
      <w:tr w:rsidR="00C64C55" w:rsidRPr="00C64C55" w14:paraId="77B48523" w14:textId="77777777" w:rsidTr="00C64C55">
        <w:trPr>
          <w:trHeight w:val="255"/>
        </w:trPr>
        <w:tc>
          <w:tcPr>
            <w:tcW w:w="3223" w:type="pct"/>
            <w:tcBorders>
              <w:top w:val="nil"/>
              <w:left w:val="single" w:sz="4" w:space="0" w:color="auto"/>
              <w:bottom w:val="single" w:sz="4" w:space="0" w:color="auto"/>
              <w:right w:val="nil"/>
            </w:tcBorders>
            <w:shd w:val="clear" w:color="auto" w:fill="auto"/>
            <w:noWrap/>
            <w:vAlign w:val="bottom"/>
            <w:hideMark/>
          </w:tcPr>
          <w:p w14:paraId="5D24D8EF"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Вид приход</w:t>
            </w:r>
          </w:p>
        </w:tc>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69A33132"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30.6.2024 г.</w:t>
            </w:r>
          </w:p>
        </w:tc>
        <w:tc>
          <w:tcPr>
            <w:tcW w:w="889" w:type="pct"/>
            <w:tcBorders>
              <w:top w:val="nil"/>
              <w:left w:val="nil"/>
              <w:bottom w:val="single" w:sz="4" w:space="0" w:color="auto"/>
              <w:right w:val="single" w:sz="4" w:space="0" w:color="auto"/>
            </w:tcBorders>
            <w:shd w:val="clear" w:color="auto" w:fill="auto"/>
            <w:noWrap/>
            <w:vAlign w:val="bottom"/>
            <w:hideMark/>
          </w:tcPr>
          <w:p w14:paraId="34A34C57"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30.6.2023 г.</w:t>
            </w:r>
          </w:p>
        </w:tc>
      </w:tr>
      <w:tr w:rsidR="00C64C55" w:rsidRPr="00C64C55" w14:paraId="2583FC98" w14:textId="77777777" w:rsidTr="00C64C55">
        <w:trPr>
          <w:trHeight w:val="255"/>
        </w:trPr>
        <w:tc>
          <w:tcPr>
            <w:tcW w:w="3223" w:type="pct"/>
            <w:tcBorders>
              <w:top w:val="nil"/>
              <w:left w:val="single" w:sz="4" w:space="0" w:color="auto"/>
              <w:bottom w:val="single" w:sz="4" w:space="0" w:color="auto"/>
              <w:right w:val="nil"/>
            </w:tcBorders>
            <w:shd w:val="clear" w:color="auto" w:fill="auto"/>
            <w:noWrap/>
            <w:vAlign w:val="bottom"/>
            <w:hideMark/>
          </w:tcPr>
          <w:p w14:paraId="63648041"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Приходи от лихви, в т.ч.:</w:t>
            </w:r>
          </w:p>
        </w:tc>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21993739"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78 </w:t>
            </w:r>
          </w:p>
        </w:tc>
        <w:tc>
          <w:tcPr>
            <w:tcW w:w="889" w:type="pct"/>
            <w:tcBorders>
              <w:top w:val="nil"/>
              <w:left w:val="nil"/>
              <w:bottom w:val="single" w:sz="4" w:space="0" w:color="auto"/>
              <w:right w:val="single" w:sz="4" w:space="0" w:color="auto"/>
            </w:tcBorders>
            <w:shd w:val="clear" w:color="auto" w:fill="auto"/>
            <w:noWrap/>
            <w:vAlign w:val="bottom"/>
            <w:hideMark/>
          </w:tcPr>
          <w:p w14:paraId="0DE857FB"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78 </w:t>
            </w:r>
          </w:p>
        </w:tc>
      </w:tr>
      <w:tr w:rsidR="00C64C55" w:rsidRPr="00C64C55" w14:paraId="5076D410" w14:textId="77777777" w:rsidTr="00C64C55">
        <w:trPr>
          <w:trHeight w:val="255"/>
        </w:trPr>
        <w:tc>
          <w:tcPr>
            <w:tcW w:w="3223" w:type="pct"/>
            <w:tcBorders>
              <w:top w:val="nil"/>
              <w:left w:val="single" w:sz="4" w:space="0" w:color="auto"/>
              <w:bottom w:val="single" w:sz="4" w:space="0" w:color="auto"/>
              <w:right w:val="nil"/>
            </w:tcBorders>
            <w:shd w:val="clear" w:color="auto" w:fill="auto"/>
            <w:noWrap/>
            <w:vAlign w:val="bottom"/>
            <w:hideMark/>
          </w:tcPr>
          <w:p w14:paraId="537E26D6"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по заеми</w:t>
            </w:r>
          </w:p>
        </w:tc>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29A4D4DB"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75 </w:t>
            </w:r>
          </w:p>
        </w:tc>
        <w:tc>
          <w:tcPr>
            <w:tcW w:w="889" w:type="pct"/>
            <w:tcBorders>
              <w:top w:val="nil"/>
              <w:left w:val="nil"/>
              <w:bottom w:val="single" w:sz="4" w:space="0" w:color="auto"/>
              <w:right w:val="single" w:sz="4" w:space="0" w:color="auto"/>
            </w:tcBorders>
            <w:shd w:val="clear" w:color="auto" w:fill="auto"/>
            <w:noWrap/>
            <w:vAlign w:val="bottom"/>
            <w:hideMark/>
          </w:tcPr>
          <w:p w14:paraId="3386ABBA"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76 </w:t>
            </w:r>
          </w:p>
        </w:tc>
      </w:tr>
      <w:tr w:rsidR="00C64C55" w:rsidRPr="00C64C55" w14:paraId="3B9F4FE4" w14:textId="77777777" w:rsidTr="00C64C55">
        <w:trPr>
          <w:trHeight w:val="255"/>
        </w:trPr>
        <w:tc>
          <w:tcPr>
            <w:tcW w:w="3223" w:type="pct"/>
            <w:tcBorders>
              <w:top w:val="nil"/>
              <w:left w:val="single" w:sz="4" w:space="0" w:color="auto"/>
              <w:bottom w:val="single" w:sz="4" w:space="0" w:color="auto"/>
              <w:right w:val="nil"/>
            </w:tcBorders>
            <w:shd w:val="clear" w:color="auto" w:fill="auto"/>
            <w:noWrap/>
            <w:vAlign w:val="bottom"/>
            <w:hideMark/>
          </w:tcPr>
          <w:p w14:paraId="79B24D50"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по цесии</w:t>
            </w:r>
          </w:p>
        </w:tc>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484CFEA8"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3 </w:t>
            </w:r>
          </w:p>
        </w:tc>
        <w:tc>
          <w:tcPr>
            <w:tcW w:w="889" w:type="pct"/>
            <w:tcBorders>
              <w:top w:val="nil"/>
              <w:left w:val="nil"/>
              <w:bottom w:val="single" w:sz="4" w:space="0" w:color="auto"/>
              <w:right w:val="single" w:sz="4" w:space="0" w:color="auto"/>
            </w:tcBorders>
            <w:shd w:val="clear" w:color="auto" w:fill="auto"/>
            <w:noWrap/>
            <w:vAlign w:val="bottom"/>
            <w:hideMark/>
          </w:tcPr>
          <w:p w14:paraId="4CD251F7"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2 </w:t>
            </w:r>
          </w:p>
        </w:tc>
      </w:tr>
      <w:tr w:rsidR="00C64C55" w:rsidRPr="00C64C55" w14:paraId="063CA918" w14:textId="77777777" w:rsidTr="00C64C55">
        <w:trPr>
          <w:trHeight w:val="255"/>
        </w:trPr>
        <w:tc>
          <w:tcPr>
            <w:tcW w:w="3223" w:type="pct"/>
            <w:tcBorders>
              <w:top w:val="nil"/>
              <w:left w:val="single" w:sz="4" w:space="0" w:color="auto"/>
              <w:bottom w:val="single" w:sz="4" w:space="0" w:color="auto"/>
              <w:right w:val="nil"/>
            </w:tcBorders>
            <w:shd w:val="clear" w:color="auto" w:fill="auto"/>
            <w:noWrap/>
            <w:vAlign w:val="bottom"/>
            <w:hideMark/>
          </w:tcPr>
          <w:p w14:paraId="69C8AB87"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От операции с финансови инструменти</w:t>
            </w:r>
          </w:p>
        </w:tc>
        <w:tc>
          <w:tcPr>
            <w:tcW w:w="889" w:type="pct"/>
            <w:tcBorders>
              <w:top w:val="nil"/>
              <w:left w:val="single" w:sz="4" w:space="0" w:color="auto"/>
              <w:bottom w:val="single" w:sz="4" w:space="0" w:color="auto"/>
              <w:right w:val="single" w:sz="4" w:space="0" w:color="auto"/>
            </w:tcBorders>
            <w:shd w:val="clear" w:color="auto" w:fill="auto"/>
            <w:noWrap/>
            <w:vAlign w:val="bottom"/>
            <w:hideMark/>
          </w:tcPr>
          <w:p w14:paraId="526941BE"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w:t>
            </w:r>
          </w:p>
        </w:tc>
        <w:tc>
          <w:tcPr>
            <w:tcW w:w="889" w:type="pct"/>
            <w:tcBorders>
              <w:top w:val="nil"/>
              <w:left w:val="nil"/>
              <w:bottom w:val="single" w:sz="4" w:space="0" w:color="auto"/>
              <w:right w:val="single" w:sz="4" w:space="0" w:color="auto"/>
            </w:tcBorders>
            <w:shd w:val="clear" w:color="auto" w:fill="auto"/>
            <w:noWrap/>
            <w:vAlign w:val="bottom"/>
            <w:hideMark/>
          </w:tcPr>
          <w:p w14:paraId="2B0BFEDA"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31 </w:t>
            </w:r>
          </w:p>
        </w:tc>
      </w:tr>
      <w:tr w:rsidR="00C64C55" w:rsidRPr="00C64C55" w14:paraId="30A995E4" w14:textId="77777777" w:rsidTr="00C64C55">
        <w:trPr>
          <w:trHeight w:val="255"/>
        </w:trPr>
        <w:tc>
          <w:tcPr>
            <w:tcW w:w="3223" w:type="pct"/>
            <w:tcBorders>
              <w:top w:val="nil"/>
              <w:left w:val="single" w:sz="4" w:space="0" w:color="auto"/>
              <w:bottom w:val="single" w:sz="4" w:space="0" w:color="auto"/>
              <w:right w:val="nil"/>
            </w:tcBorders>
            <w:shd w:val="clear" w:color="000000" w:fill="00AEEF"/>
            <w:noWrap/>
            <w:vAlign w:val="bottom"/>
            <w:hideMark/>
          </w:tcPr>
          <w:p w14:paraId="602FC486"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Общо</w:t>
            </w:r>
          </w:p>
        </w:tc>
        <w:tc>
          <w:tcPr>
            <w:tcW w:w="889" w:type="pct"/>
            <w:tcBorders>
              <w:top w:val="nil"/>
              <w:left w:val="single" w:sz="4" w:space="0" w:color="auto"/>
              <w:bottom w:val="single" w:sz="4" w:space="0" w:color="auto"/>
              <w:right w:val="single" w:sz="4" w:space="0" w:color="auto"/>
            </w:tcBorders>
            <w:shd w:val="clear" w:color="000000" w:fill="00AEEF"/>
            <w:noWrap/>
            <w:vAlign w:val="bottom"/>
            <w:hideMark/>
          </w:tcPr>
          <w:p w14:paraId="23933B79"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78 </w:t>
            </w:r>
          </w:p>
        </w:tc>
        <w:tc>
          <w:tcPr>
            <w:tcW w:w="889" w:type="pct"/>
            <w:tcBorders>
              <w:top w:val="nil"/>
              <w:left w:val="nil"/>
              <w:bottom w:val="single" w:sz="4" w:space="0" w:color="auto"/>
              <w:right w:val="single" w:sz="4" w:space="0" w:color="auto"/>
            </w:tcBorders>
            <w:shd w:val="clear" w:color="000000" w:fill="00AEEF"/>
            <w:noWrap/>
            <w:vAlign w:val="bottom"/>
            <w:hideMark/>
          </w:tcPr>
          <w:p w14:paraId="625D4EEC"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109 </w:t>
            </w:r>
          </w:p>
        </w:tc>
      </w:tr>
    </w:tbl>
    <w:p w14:paraId="13715B86" w14:textId="77777777" w:rsidR="00C64C55" w:rsidRDefault="00C64C55" w:rsidP="00C64C55"/>
    <w:tbl>
      <w:tblPr>
        <w:tblW w:w="5000" w:type="pct"/>
        <w:tblCellMar>
          <w:left w:w="70" w:type="dxa"/>
          <w:right w:w="70" w:type="dxa"/>
        </w:tblCellMar>
        <w:tblLook w:val="04A0" w:firstRow="1" w:lastRow="0" w:firstColumn="1" w:lastColumn="0" w:noHBand="0" w:noVBand="1"/>
      </w:tblPr>
      <w:tblGrid>
        <w:gridCol w:w="5641"/>
        <w:gridCol w:w="1983"/>
        <w:gridCol w:w="1983"/>
      </w:tblGrid>
      <w:tr w:rsidR="00C64C55" w:rsidRPr="00C64C55" w14:paraId="4C5DB2D4" w14:textId="77777777" w:rsidTr="00C64C55">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B33DFB"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Финансови разходи</w:t>
            </w:r>
          </w:p>
        </w:tc>
      </w:tr>
      <w:tr w:rsidR="00C64C55" w:rsidRPr="00C64C55" w14:paraId="37998737" w14:textId="77777777" w:rsidTr="00C64C55">
        <w:trPr>
          <w:trHeight w:val="255"/>
        </w:trPr>
        <w:tc>
          <w:tcPr>
            <w:tcW w:w="2936" w:type="pct"/>
            <w:tcBorders>
              <w:top w:val="nil"/>
              <w:left w:val="single" w:sz="4" w:space="0" w:color="auto"/>
              <w:bottom w:val="single" w:sz="4" w:space="0" w:color="auto"/>
              <w:right w:val="nil"/>
            </w:tcBorders>
            <w:shd w:val="clear" w:color="auto" w:fill="auto"/>
            <w:noWrap/>
            <w:vAlign w:val="bottom"/>
            <w:hideMark/>
          </w:tcPr>
          <w:p w14:paraId="41A25764"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Вид разход</w:t>
            </w: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0BFF7225"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30.6.2024 г.</w:t>
            </w:r>
          </w:p>
        </w:tc>
        <w:tc>
          <w:tcPr>
            <w:tcW w:w="1032" w:type="pct"/>
            <w:tcBorders>
              <w:top w:val="nil"/>
              <w:left w:val="nil"/>
              <w:bottom w:val="single" w:sz="4" w:space="0" w:color="auto"/>
              <w:right w:val="single" w:sz="4" w:space="0" w:color="auto"/>
            </w:tcBorders>
            <w:shd w:val="clear" w:color="auto" w:fill="auto"/>
            <w:noWrap/>
            <w:vAlign w:val="bottom"/>
            <w:hideMark/>
          </w:tcPr>
          <w:p w14:paraId="61CAAE9C"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30.6.2023 г.</w:t>
            </w:r>
          </w:p>
        </w:tc>
      </w:tr>
      <w:tr w:rsidR="00C64C55" w:rsidRPr="00C64C55" w14:paraId="331CC774" w14:textId="77777777" w:rsidTr="00C64C55">
        <w:trPr>
          <w:trHeight w:val="255"/>
        </w:trPr>
        <w:tc>
          <w:tcPr>
            <w:tcW w:w="2936" w:type="pct"/>
            <w:tcBorders>
              <w:top w:val="nil"/>
              <w:left w:val="single" w:sz="4" w:space="0" w:color="auto"/>
              <w:bottom w:val="single" w:sz="4" w:space="0" w:color="auto"/>
              <w:right w:val="nil"/>
            </w:tcBorders>
            <w:shd w:val="clear" w:color="auto" w:fill="auto"/>
            <w:noWrap/>
            <w:vAlign w:val="bottom"/>
            <w:hideMark/>
          </w:tcPr>
          <w:p w14:paraId="17E51C14"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Разходи за лихви, в т.ч.:</w:t>
            </w: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4B72EF9A"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3 </w:t>
            </w:r>
          </w:p>
        </w:tc>
        <w:tc>
          <w:tcPr>
            <w:tcW w:w="1032" w:type="pct"/>
            <w:tcBorders>
              <w:top w:val="nil"/>
              <w:left w:val="nil"/>
              <w:bottom w:val="single" w:sz="4" w:space="0" w:color="auto"/>
              <w:right w:val="single" w:sz="4" w:space="0" w:color="auto"/>
            </w:tcBorders>
            <w:shd w:val="clear" w:color="auto" w:fill="auto"/>
            <w:noWrap/>
            <w:vAlign w:val="bottom"/>
            <w:hideMark/>
          </w:tcPr>
          <w:p w14:paraId="135EB39A"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3 </w:t>
            </w:r>
          </w:p>
        </w:tc>
      </w:tr>
      <w:tr w:rsidR="00C64C55" w:rsidRPr="00C64C55" w14:paraId="2CF80B8E" w14:textId="77777777" w:rsidTr="00C64C55">
        <w:trPr>
          <w:trHeight w:val="255"/>
        </w:trPr>
        <w:tc>
          <w:tcPr>
            <w:tcW w:w="2936" w:type="pct"/>
            <w:tcBorders>
              <w:top w:val="nil"/>
              <w:left w:val="single" w:sz="4" w:space="0" w:color="auto"/>
              <w:bottom w:val="single" w:sz="4" w:space="0" w:color="auto"/>
              <w:right w:val="nil"/>
            </w:tcBorders>
            <w:shd w:val="clear" w:color="auto" w:fill="auto"/>
            <w:noWrap/>
            <w:vAlign w:val="bottom"/>
            <w:hideMark/>
          </w:tcPr>
          <w:p w14:paraId="721C82EE"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по заеми и цесии</w:t>
            </w:r>
          </w:p>
        </w:tc>
        <w:tc>
          <w:tcPr>
            <w:tcW w:w="1032" w:type="pct"/>
            <w:tcBorders>
              <w:top w:val="nil"/>
              <w:left w:val="single" w:sz="4" w:space="0" w:color="auto"/>
              <w:bottom w:val="single" w:sz="4" w:space="0" w:color="auto"/>
              <w:right w:val="single" w:sz="4" w:space="0" w:color="auto"/>
            </w:tcBorders>
            <w:shd w:val="clear" w:color="auto" w:fill="auto"/>
            <w:noWrap/>
            <w:vAlign w:val="bottom"/>
            <w:hideMark/>
          </w:tcPr>
          <w:p w14:paraId="4AD7E3D7"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3 </w:t>
            </w:r>
          </w:p>
        </w:tc>
        <w:tc>
          <w:tcPr>
            <w:tcW w:w="1032" w:type="pct"/>
            <w:tcBorders>
              <w:top w:val="nil"/>
              <w:left w:val="nil"/>
              <w:bottom w:val="single" w:sz="4" w:space="0" w:color="auto"/>
              <w:right w:val="single" w:sz="4" w:space="0" w:color="auto"/>
            </w:tcBorders>
            <w:shd w:val="clear" w:color="auto" w:fill="auto"/>
            <w:noWrap/>
            <w:vAlign w:val="bottom"/>
            <w:hideMark/>
          </w:tcPr>
          <w:p w14:paraId="574C80DA"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3 </w:t>
            </w:r>
          </w:p>
        </w:tc>
      </w:tr>
      <w:tr w:rsidR="00C64C55" w:rsidRPr="00C64C55" w14:paraId="5F203B26" w14:textId="77777777" w:rsidTr="00C64C55">
        <w:trPr>
          <w:trHeight w:val="255"/>
        </w:trPr>
        <w:tc>
          <w:tcPr>
            <w:tcW w:w="2936" w:type="pct"/>
            <w:tcBorders>
              <w:top w:val="nil"/>
              <w:left w:val="single" w:sz="4" w:space="0" w:color="auto"/>
              <w:bottom w:val="single" w:sz="4" w:space="0" w:color="auto"/>
              <w:right w:val="nil"/>
            </w:tcBorders>
            <w:shd w:val="clear" w:color="000000" w:fill="00AEEF"/>
            <w:noWrap/>
            <w:vAlign w:val="bottom"/>
            <w:hideMark/>
          </w:tcPr>
          <w:p w14:paraId="42E010B1"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Общо</w:t>
            </w:r>
          </w:p>
        </w:tc>
        <w:tc>
          <w:tcPr>
            <w:tcW w:w="1032" w:type="pct"/>
            <w:tcBorders>
              <w:top w:val="nil"/>
              <w:left w:val="single" w:sz="4" w:space="0" w:color="auto"/>
              <w:bottom w:val="single" w:sz="4" w:space="0" w:color="auto"/>
              <w:right w:val="single" w:sz="4" w:space="0" w:color="auto"/>
            </w:tcBorders>
            <w:shd w:val="clear" w:color="000000" w:fill="00AEEF"/>
            <w:noWrap/>
            <w:vAlign w:val="bottom"/>
            <w:hideMark/>
          </w:tcPr>
          <w:p w14:paraId="28ED226E"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3 </w:t>
            </w:r>
          </w:p>
        </w:tc>
        <w:tc>
          <w:tcPr>
            <w:tcW w:w="1032" w:type="pct"/>
            <w:tcBorders>
              <w:top w:val="nil"/>
              <w:left w:val="nil"/>
              <w:bottom w:val="single" w:sz="4" w:space="0" w:color="auto"/>
              <w:right w:val="single" w:sz="4" w:space="0" w:color="auto"/>
            </w:tcBorders>
            <w:shd w:val="clear" w:color="000000" w:fill="00AEEF"/>
            <w:noWrap/>
            <w:vAlign w:val="bottom"/>
            <w:hideMark/>
          </w:tcPr>
          <w:p w14:paraId="2C4E9E6B"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3 </w:t>
            </w:r>
          </w:p>
        </w:tc>
      </w:tr>
      <w:tr w:rsidR="00C64C55" w:rsidRPr="00C64C55" w14:paraId="18F89F80" w14:textId="77777777" w:rsidTr="00C64C55">
        <w:trPr>
          <w:trHeight w:val="255"/>
        </w:trPr>
        <w:tc>
          <w:tcPr>
            <w:tcW w:w="2936" w:type="pct"/>
            <w:tcBorders>
              <w:top w:val="single" w:sz="4" w:space="0" w:color="auto"/>
              <w:left w:val="single" w:sz="4" w:space="0" w:color="auto"/>
              <w:bottom w:val="single" w:sz="4" w:space="0" w:color="auto"/>
              <w:right w:val="nil"/>
            </w:tcBorders>
            <w:shd w:val="clear" w:color="000000" w:fill="00AEEF"/>
            <w:noWrap/>
            <w:vAlign w:val="bottom"/>
            <w:hideMark/>
          </w:tcPr>
          <w:p w14:paraId="7289F732"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Резултат от финансови сделки</w:t>
            </w:r>
          </w:p>
        </w:tc>
        <w:tc>
          <w:tcPr>
            <w:tcW w:w="1032" w:type="pct"/>
            <w:tcBorders>
              <w:top w:val="single" w:sz="4" w:space="0" w:color="auto"/>
              <w:left w:val="single" w:sz="4" w:space="0" w:color="auto"/>
              <w:bottom w:val="single" w:sz="4" w:space="0" w:color="auto"/>
              <w:right w:val="single" w:sz="4" w:space="0" w:color="auto"/>
            </w:tcBorders>
            <w:shd w:val="clear" w:color="000000" w:fill="00AEEF"/>
            <w:noWrap/>
            <w:vAlign w:val="bottom"/>
            <w:hideMark/>
          </w:tcPr>
          <w:p w14:paraId="31DD2390"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75 </w:t>
            </w:r>
          </w:p>
        </w:tc>
        <w:tc>
          <w:tcPr>
            <w:tcW w:w="1032" w:type="pct"/>
            <w:tcBorders>
              <w:top w:val="single" w:sz="4" w:space="0" w:color="auto"/>
              <w:left w:val="nil"/>
              <w:bottom w:val="single" w:sz="4" w:space="0" w:color="auto"/>
              <w:right w:val="single" w:sz="4" w:space="0" w:color="auto"/>
            </w:tcBorders>
            <w:shd w:val="clear" w:color="000000" w:fill="00AEEF"/>
            <w:noWrap/>
            <w:vAlign w:val="bottom"/>
            <w:hideMark/>
          </w:tcPr>
          <w:p w14:paraId="0BAA2275"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106 </w:t>
            </w:r>
          </w:p>
        </w:tc>
      </w:tr>
    </w:tbl>
    <w:p w14:paraId="6023CFC4" w14:textId="70FBACCE" w:rsidR="00B66DF8" w:rsidRPr="00B14C47" w:rsidRDefault="00C874BE" w:rsidP="00C874BE">
      <w:pPr>
        <w:pStyle w:val="Heading3"/>
        <w:rPr>
          <w:rFonts w:ascii="Arial" w:hAnsi="Arial" w:cs="Arial"/>
          <w:lang w:val="bg-BG"/>
        </w:rPr>
      </w:pPr>
      <w:bookmarkStart w:id="127" w:name="_Toc164268370"/>
      <w:bookmarkStart w:id="128" w:name="_Hlk509878567"/>
      <w:bookmarkEnd w:id="126"/>
      <w:r w:rsidRPr="00B14C47">
        <w:rPr>
          <w:rFonts w:ascii="Arial" w:hAnsi="Arial" w:cs="Arial"/>
          <w:lang w:val="bg-BG"/>
        </w:rPr>
        <w:t>1.</w:t>
      </w:r>
      <w:r w:rsidR="0084200D" w:rsidRPr="00B14C47">
        <w:rPr>
          <w:rFonts w:ascii="Arial" w:hAnsi="Arial" w:cs="Arial"/>
        </w:rPr>
        <w:t>6</w:t>
      </w:r>
      <w:r w:rsidR="00B66DF8" w:rsidRPr="00B14C47">
        <w:rPr>
          <w:rFonts w:ascii="Arial" w:hAnsi="Arial" w:cs="Arial"/>
          <w:lang w:val="bg-BG"/>
        </w:rPr>
        <w:t xml:space="preserve">. </w:t>
      </w:r>
      <w:r w:rsidR="00E34E83" w:rsidRPr="00B14C47">
        <w:rPr>
          <w:rFonts w:ascii="Arial" w:hAnsi="Arial" w:cs="Arial"/>
          <w:lang w:val="bg-BG"/>
        </w:rPr>
        <w:t xml:space="preserve">Нетна загуба </w:t>
      </w:r>
      <w:r w:rsidR="00B66DF8" w:rsidRPr="00B14C47">
        <w:rPr>
          <w:rFonts w:ascii="Arial" w:hAnsi="Arial" w:cs="Arial"/>
          <w:lang w:val="bg-BG"/>
        </w:rPr>
        <w:t>на акция</w:t>
      </w:r>
      <w:bookmarkEnd w:id="127"/>
    </w:p>
    <w:bookmarkEnd w:id="128"/>
    <w:p w14:paraId="58E6885D" w14:textId="77777777" w:rsidR="001508DB" w:rsidRPr="00B14C47" w:rsidRDefault="001508DB" w:rsidP="00F5134B">
      <w:pPr>
        <w:autoSpaceDE w:val="0"/>
        <w:autoSpaceDN w:val="0"/>
        <w:adjustRightInd w:val="0"/>
        <w:rPr>
          <w:rFonts w:ascii="Arial" w:hAnsi="Arial" w:cs="Arial"/>
          <w:color w:val="000000"/>
          <w:sz w:val="20"/>
        </w:rPr>
      </w:pPr>
    </w:p>
    <w:p w14:paraId="1F0A42C9" w14:textId="5CFBDEC7" w:rsidR="00F5134B" w:rsidRPr="00B14C47" w:rsidRDefault="00E34E83" w:rsidP="00F5134B">
      <w:pPr>
        <w:autoSpaceDE w:val="0"/>
        <w:autoSpaceDN w:val="0"/>
        <w:adjustRightInd w:val="0"/>
        <w:rPr>
          <w:rFonts w:ascii="Arial" w:hAnsi="Arial" w:cs="Arial"/>
          <w:color w:val="000000"/>
          <w:sz w:val="20"/>
        </w:rPr>
      </w:pPr>
      <w:r w:rsidRPr="00B14C47">
        <w:rPr>
          <w:rFonts w:ascii="Arial" w:hAnsi="Arial" w:cs="Arial"/>
          <w:color w:val="000000"/>
          <w:sz w:val="20"/>
        </w:rPr>
        <w:t>Нетната печалба</w:t>
      </w:r>
      <w:r w:rsidR="00F5134B" w:rsidRPr="00B14C47">
        <w:rPr>
          <w:rFonts w:ascii="Arial" w:hAnsi="Arial" w:cs="Arial"/>
          <w:color w:val="000000"/>
          <w:sz w:val="20"/>
        </w:rPr>
        <w:t>/(загуба) на акция е изчислен</w:t>
      </w:r>
      <w:r w:rsidRPr="00B14C47">
        <w:rPr>
          <w:rFonts w:ascii="Arial" w:hAnsi="Arial" w:cs="Arial"/>
          <w:color w:val="000000"/>
          <w:sz w:val="20"/>
        </w:rPr>
        <w:t>а</w:t>
      </w:r>
      <w:r w:rsidR="00F5134B" w:rsidRPr="00B14C47">
        <w:rPr>
          <w:rFonts w:ascii="Arial" w:hAnsi="Arial" w:cs="Arial"/>
          <w:color w:val="000000"/>
          <w:sz w:val="20"/>
        </w:rPr>
        <w:t xml:space="preserve"> като нетната печалба/(загуба), подлежаща на разпределение между притежателите на обикновени акции е разделена на среднопретегления брой акции за периода.</w:t>
      </w:r>
    </w:p>
    <w:p w14:paraId="67B0DB2E" w14:textId="7258326D" w:rsidR="00F5134B" w:rsidRPr="00B14C47" w:rsidRDefault="00E34E83" w:rsidP="00F5134B">
      <w:pPr>
        <w:rPr>
          <w:rFonts w:ascii="Arial" w:hAnsi="Arial" w:cs="Arial"/>
          <w:sz w:val="20"/>
        </w:rPr>
      </w:pPr>
      <w:r w:rsidRPr="00B14C47">
        <w:rPr>
          <w:rFonts w:ascii="Arial" w:hAnsi="Arial" w:cs="Arial"/>
          <w:color w:val="000000"/>
          <w:sz w:val="20"/>
        </w:rPr>
        <w:t>Нетната печалба/(загуба) на акция</w:t>
      </w:r>
      <w:r w:rsidR="00F5134B" w:rsidRPr="00B14C47">
        <w:rPr>
          <w:rFonts w:ascii="Arial" w:hAnsi="Arial" w:cs="Arial"/>
          <w:sz w:val="20"/>
        </w:rPr>
        <w:t xml:space="preserve"> с намалена стойност се изчислява като </w:t>
      </w:r>
      <w:r w:rsidRPr="00B14C47">
        <w:rPr>
          <w:rFonts w:ascii="Arial" w:hAnsi="Arial" w:cs="Arial"/>
          <w:sz w:val="20"/>
        </w:rPr>
        <w:t xml:space="preserve">основната </w:t>
      </w:r>
      <w:r w:rsidRPr="00B14C47">
        <w:rPr>
          <w:rFonts w:ascii="Arial" w:hAnsi="Arial" w:cs="Arial"/>
          <w:bCs/>
          <w:sz w:val="20"/>
          <w:lang w:eastAsia="bg-BG"/>
        </w:rPr>
        <w:t xml:space="preserve">нетна печалба / </w:t>
      </w:r>
      <w:r w:rsidRPr="00B14C47">
        <w:rPr>
          <w:rFonts w:ascii="Arial" w:hAnsi="Arial" w:cs="Arial"/>
          <w:bCs/>
          <w:sz w:val="20"/>
          <w:lang w:val="en-US" w:eastAsia="bg-BG"/>
        </w:rPr>
        <w:t>(</w:t>
      </w:r>
      <w:r w:rsidRPr="00B14C47">
        <w:rPr>
          <w:rFonts w:ascii="Arial" w:hAnsi="Arial" w:cs="Arial"/>
          <w:bCs/>
          <w:sz w:val="20"/>
          <w:lang w:eastAsia="bg-BG"/>
        </w:rPr>
        <w:t>загуба</w:t>
      </w:r>
      <w:r w:rsidRPr="00B14C47">
        <w:rPr>
          <w:rFonts w:ascii="Arial" w:hAnsi="Arial" w:cs="Arial"/>
          <w:bCs/>
          <w:sz w:val="20"/>
          <w:lang w:val="en-US" w:eastAsia="bg-BG"/>
        </w:rPr>
        <w:t>)</w:t>
      </w:r>
      <w:r w:rsidR="00F5134B" w:rsidRPr="00B14C47">
        <w:rPr>
          <w:rFonts w:ascii="Arial" w:hAnsi="Arial" w:cs="Arial"/>
          <w:sz w:val="20"/>
        </w:rPr>
        <w:t xml:space="preserve"> на акция се коригира така, че да се вземе предвид издаването на нови акции и данъчния </w:t>
      </w:r>
      <w:r w:rsidR="00F5134B" w:rsidRPr="00B14C47">
        <w:rPr>
          <w:rFonts w:ascii="Arial" w:hAnsi="Arial" w:cs="Arial"/>
          <w:sz w:val="20"/>
        </w:rPr>
        <w:lastRenderedPageBreak/>
        <w:t>ефект от плащане на дивидентите или лихви при условие, че всички права за намаляващи опции и други намаляващи потенциални обикновени акции бъдат упражнени.</w:t>
      </w:r>
    </w:p>
    <w:p w14:paraId="06D55C77" w14:textId="77777777" w:rsidR="00F5134B" w:rsidRDefault="00F5134B" w:rsidP="00F5134B">
      <w:pPr>
        <w:rPr>
          <w:rFonts w:ascii="Arial" w:hAnsi="Arial" w:cs="Arial"/>
          <w:sz w:val="20"/>
        </w:rPr>
      </w:pPr>
      <w:r w:rsidRPr="00B14C47">
        <w:rPr>
          <w:rFonts w:ascii="Arial" w:hAnsi="Arial" w:cs="Arial"/>
          <w:sz w:val="20"/>
        </w:rPr>
        <w:t>Изчисляването на дохода на акция на база и използвания средно претеглен брой акции, са показани по-долу:</w:t>
      </w:r>
    </w:p>
    <w:p w14:paraId="4ADD898A" w14:textId="77777777" w:rsidR="00C64C55" w:rsidRDefault="00C64C55" w:rsidP="00F5134B">
      <w:pPr>
        <w:rPr>
          <w:rFonts w:ascii="Arial" w:hAnsi="Arial" w:cs="Arial"/>
          <w:sz w:val="20"/>
        </w:rPr>
      </w:pPr>
    </w:p>
    <w:p w14:paraId="2FF258A9" w14:textId="77777777" w:rsidR="00C64C55" w:rsidRDefault="00C64C55" w:rsidP="00F5134B">
      <w:pPr>
        <w:rPr>
          <w:rFonts w:ascii="Arial" w:hAnsi="Arial" w:cs="Arial"/>
          <w:sz w:val="20"/>
        </w:rPr>
      </w:pPr>
    </w:p>
    <w:p w14:paraId="7F4029F3" w14:textId="77777777" w:rsidR="00C64C55" w:rsidRPr="00B14C47" w:rsidRDefault="00C64C55" w:rsidP="00F5134B">
      <w:pPr>
        <w:rPr>
          <w:rFonts w:ascii="Arial" w:hAnsi="Arial" w:cs="Arial"/>
          <w:sz w:val="20"/>
        </w:rPr>
      </w:pPr>
    </w:p>
    <w:p w14:paraId="4248F229" w14:textId="77777777" w:rsidR="00B53DC6" w:rsidRPr="00B14C47" w:rsidRDefault="00B53DC6" w:rsidP="00F5134B">
      <w:pPr>
        <w:rPr>
          <w:rFonts w:ascii="Arial" w:hAnsi="Arial" w:cs="Arial"/>
          <w:sz w:val="20"/>
        </w:rPr>
      </w:pPr>
    </w:p>
    <w:tbl>
      <w:tblPr>
        <w:tblW w:w="9503" w:type="dxa"/>
        <w:tblInd w:w="65" w:type="dxa"/>
        <w:tblCellMar>
          <w:left w:w="70" w:type="dxa"/>
          <w:right w:w="70" w:type="dxa"/>
        </w:tblCellMar>
        <w:tblLook w:val="04A0" w:firstRow="1" w:lastRow="0" w:firstColumn="1" w:lastColumn="0" w:noHBand="0" w:noVBand="1"/>
      </w:tblPr>
      <w:tblGrid>
        <w:gridCol w:w="5534"/>
        <w:gridCol w:w="2126"/>
        <w:gridCol w:w="1843"/>
      </w:tblGrid>
      <w:tr w:rsidR="004C7430" w:rsidRPr="00B14C47" w14:paraId="34773FB5" w14:textId="77777777" w:rsidTr="00C13396">
        <w:trPr>
          <w:trHeight w:val="300"/>
        </w:trPr>
        <w:tc>
          <w:tcPr>
            <w:tcW w:w="9503" w:type="dxa"/>
            <w:gridSpan w:val="3"/>
            <w:tcBorders>
              <w:top w:val="single" w:sz="4" w:space="0" w:color="auto"/>
              <w:left w:val="single" w:sz="4" w:space="0" w:color="auto"/>
              <w:bottom w:val="single" w:sz="4" w:space="0" w:color="auto"/>
              <w:right w:val="single" w:sz="4" w:space="0" w:color="000000"/>
            </w:tcBorders>
            <w:shd w:val="clear" w:color="000000" w:fill="C0C0C0"/>
            <w:noWrap/>
            <w:hideMark/>
          </w:tcPr>
          <w:p w14:paraId="037ED9D4" w14:textId="77777777" w:rsidR="004C7430" w:rsidRPr="00B14C47" w:rsidRDefault="004C7430" w:rsidP="00C13396">
            <w:pPr>
              <w:jc w:val="center"/>
              <w:rPr>
                <w:rFonts w:ascii="Arial" w:hAnsi="Arial" w:cs="Arial"/>
                <w:b/>
                <w:bCs/>
                <w:sz w:val="20"/>
                <w:lang w:eastAsia="bg-BG"/>
              </w:rPr>
            </w:pPr>
            <w:r w:rsidRPr="00B14C47">
              <w:rPr>
                <w:rFonts w:ascii="Arial" w:hAnsi="Arial" w:cs="Arial"/>
                <w:b/>
                <w:bCs/>
                <w:sz w:val="20"/>
                <w:lang w:eastAsia="bg-BG"/>
              </w:rPr>
              <w:t>Доход на акции</w:t>
            </w:r>
          </w:p>
        </w:tc>
      </w:tr>
      <w:tr w:rsidR="00777771" w:rsidRPr="00B14C47" w14:paraId="710D78AB" w14:textId="77777777" w:rsidTr="00C13396">
        <w:trPr>
          <w:trHeight w:val="255"/>
        </w:trPr>
        <w:tc>
          <w:tcPr>
            <w:tcW w:w="5534" w:type="dxa"/>
            <w:tcBorders>
              <w:top w:val="nil"/>
              <w:left w:val="single" w:sz="4" w:space="0" w:color="auto"/>
              <w:bottom w:val="single" w:sz="4" w:space="0" w:color="auto"/>
              <w:right w:val="nil"/>
            </w:tcBorders>
            <w:shd w:val="clear" w:color="auto" w:fill="auto"/>
            <w:noWrap/>
            <w:hideMark/>
          </w:tcPr>
          <w:p w14:paraId="5DD3C43D" w14:textId="77777777" w:rsidR="00777771" w:rsidRPr="00B14C47" w:rsidRDefault="00777771" w:rsidP="00C13396">
            <w:pPr>
              <w:jc w:val="center"/>
              <w:rPr>
                <w:rFonts w:ascii="Arial" w:hAnsi="Arial" w:cs="Arial"/>
                <w:b/>
                <w:bCs/>
                <w:sz w:val="20"/>
                <w:lang w:eastAsia="bg-BG"/>
              </w:rPr>
            </w:pPr>
          </w:p>
        </w:tc>
        <w:tc>
          <w:tcPr>
            <w:tcW w:w="2126" w:type="dxa"/>
            <w:tcBorders>
              <w:top w:val="nil"/>
              <w:left w:val="single" w:sz="4" w:space="0" w:color="auto"/>
              <w:bottom w:val="single" w:sz="4" w:space="0" w:color="auto"/>
              <w:right w:val="single" w:sz="4" w:space="0" w:color="auto"/>
            </w:tcBorders>
            <w:shd w:val="clear" w:color="auto" w:fill="auto"/>
            <w:noWrap/>
            <w:hideMark/>
          </w:tcPr>
          <w:p w14:paraId="201C4EEC" w14:textId="345CDB0A" w:rsidR="00777771" w:rsidRPr="00B14C47" w:rsidRDefault="00C64C55" w:rsidP="00C13396">
            <w:pPr>
              <w:jc w:val="center"/>
              <w:rPr>
                <w:rFonts w:ascii="Arial" w:hAnsi="Arial" w:cs="Arial"/>
                <w:b/>
                <w:bCs/>
                <w:sz w:val="20"/>
                <w:lang w:eastAsia="bg-BG"/>
              </w:rPr>
            </w:pPr>
            <w:r>
              <w:rPr>
                <w:rFonts w:ascii="Arial" w:hAnsi="Arial" w:cs="Arial"/>
                <w:b/>
                <w:bCs/>
                <w:sz w:val="20"/>
                <w:lang w:eastAsia="bg-BG"/>
              </w:rPr>
              <w:t>30.06</w:t>
            </w:r>
            <w:r w:rsidR="00A80B93">
              <w:rPr>
                <w:rFonts w:ascii="Arial" w:hAnsi="Arial" w:cs="Arial"/>
                <w:b/>
                <w:bCs/>
                <w:sz w:val="20"/>
                <w:lang w:eastAsia="bg-BG"/>
              </w:rPr>
              <w:t>.</w:t>
            </w:r>
            <w:r w:rsidR="007A1A59" w:rsidRPr="00B14C47">
              <w:rPr>
                <w:rFonts w:ascii="Arial" w:hAnsi="Arial" w:cs="Arial"/>
                <w:b/>
                <w:bCs/>
                <w:sz w:val="20"/>
                <w:lang w:eastAsia="bg-BG"/>
              </w:rPr>
              <w:t>202</w:t>
            </w:r>
            <w:r w:rsidR="00A80B93">
              <w:rPr>
                <w:rFonts w:ascii="Arial" w:hAnsi="Arial" w:cs="Arial"/>
                <w:b/>
                <w:bCs/>
                <w:sz w:val="20"/>
                <w:lang w:eastAsia="bg-BG"/>
              </w:rPr>
              <w:t>4</w:t>
            </w:r>
            <w:r w:rsidR="00777771" w:rsidRPr="00B14C47">
              <w:rPr>
                <w:rFonts w:ascii="Arial" w:hAnsi="Arial" w:cs="Arial"/>
                <w:b/>
                <w:bCs/>
                <w:sz w:val="20"/>
                <w:lang w:eastAsia="bg-BG"/>
              </w:rPr>
              <w:t xml:space="preserve"> г.</w:t>
            </w:r>
          </w:p>
        </w:tc>
        <w:tc>
          <w:tcPr>
            <w:tcW w:w="1843" w:type="dxa"/>
            <w:tcBorders>
              <w:top w:val="nil"/>
              <w:left w:val="nil"/>
              <w:bottom w:val="single" w:sz="4" w:space="0" w:color="auto"/>
              <w:right w:val="single" w:sz="4" w:space="0" w:color="auto"/>
            </w:tcBorders>
            <w:shd w:val="clear" w:color="auto" w:fill="auto"/>
            <w:noWrap/>
            <w:hideMark/>
          </w:tcPr>
          <w:p w14:paraId="790C89C0" w14:textId="303F8C35" w:rsidR="00777771" w:rsidRPr="00B14C47" w:rsidRDefault="00C64C55" w:rsidP="00C13396">
            <w:pPr>
              <w:jc w:val="center"/>
              <w:rPr>
                <w:rFonts w:ascii="Arial" w:hAnsi="Arial" w:cs="Arial"/>
                <w:b/>
                <w:bCs/>
                <w:sz w:val="20"/>
                <w:lang w:eastAsia="bg-BG"/>
              </w:rPr>
            </w:pPr>
            <w:r>
              <w:rPr>
                <w:rFonts w:ascii="Arial" w:hAnsi="Arial" w:cs="Arial"/>
                <w:b/>
                <w:bCs/>
                <w:sz w:val="20"/>
                <w:lang w:eastAsia="bg-BG"/>
              </w:rPr>
              <w:t>30.06</w:t>
            </w:r>
            <w:r w:rsidR="00A80B93">
              <w:rPr>
                <w:rFonts w:ascii="Arial" w:hAnsi="Arial" w:cs="Arial"/>
                <w:b/>
                <w:bCs/>
                <w:sz w:val="20"/>
                <w:lang w:eastAsia="bg-BG"/>
              </w:rPr>
              <w:t>.</w:t>
            </w:r>
            <w:r w:rsidR="007A1A59" w:rsidRPr="00B14C47">
              <w:rPr>
                <w:rFonts w:ascii="Arial" w:hAnsi="Arial" w:cs="Arial"/>
                <w:b/>
                <w:bCs/>
                <w:sz w:val="20"/>
                <w:lang w:eastAsia="bg-BG"/>
              </w:rPr>
              <w:t>202</w:t>
            </w:r>
            <w:r w:rsidR="00A80B93">
              <w:rPr>
                <w:rFonts w:ascii="Arial" w:hAnsi="Arial" w:cs="Arial"/>
                <w:b/>
                <w:bCs/>
                <w:sz w:val="20"/>
                <w:lang w:eastAsia="bg-BG"/>
              </w:rPr>
              <w:t>3</w:t>
            </w:r>
            <w:r w:rsidR="00777771" w:rsidRPr="00B14C47">
              <w:rPr>
                <w:rFonts w:ascii="Arial" w:hAnsi="Arial" w:cs="Arial"/>
                <w:b/>
                <w:bCs/>
                <w:sz w:val="20"/>
                <w:lang w:eastAsia="bg-BG"/>
              </w:rPr>
              <w:t xml:space="preserve"> г.</w:t>
            </w:r>
          </w:p>
        </w:tc>
      </w:tr>
      <w:tr w:rsidR="00777771" w:rsidRPr="00B14C47" w14:paraId="3810601C" w14:textId="77777777" w:rsidTr="00C13396">
        <w:trPr>
          <w:trHeight w:val="255"/>
        </w:trPr>
        <w:tc>
          <w:tcPr>
            <w:tcW w:w="5534" w:type="dxa"/>
            <w:tcBorders>
              <w:top w:val="nil"/>
              <w:left w:val="single" w:sz="4" w:space="0" w:color="auto"/>
              <w:bottom w:val="single" w:sz="4" w:space="0" w:color="auto"/>
              <w:right w:val="single" w:sz="4" w:space="0" w:color="auto"/>
            </w:tcBorders>
            <w:shd w:val="clear" w:color="auto" w:fill="auto"/>
            <w:noWrap/>
            <w:hideMark/>
          </w:tcPr>
          <w:p w14:paraId="2CDB23F2" w14:textId="77777777" w:rsidR="00777771" w:rsidRPr="00B14C47" w:rsidRDefault="00777771" w:rsidP="00B34B92">
            <w:pPr>
              <w:rPr>
                <w:rFonts w:ascii="Arial" w:hAnsi="Arial" w:cs="Arial"/>
                <w:b/>
                <w:bCs/>
                <w:sz w:val="20"/>
                <w:lang w:eastAsia="bg-BG"/>
              </w:rPr>
            </w:pPr>
            <w:r w:rsidRPr="00B14C47">
              <w:rPr>
                <w:rFonts w:ascii="Arial" w:hAnsi="Arial" w:cs="Arial"/>
                <w:b/>
                <w:bCs/>
                <w:sz w:val="20"/>
                <w:lang w:eastAsia="bg-BG"/>
              </w:rPr>
              <w:t>Числител: доходи, свързани с капитала</w:t>
            </w:r>
          </w:p>
        </w:tc>
        <w:tc>
          <w:tcPr>
            <w:tcW w:w="2126" w:type="dxa"/>
            <w:tcBorders>
              <w:top w:val="nil"/>
              <w:left w:val="nil"/>
              <w:bottom w:val="single" w:sz="4" w:space="0" w:color="auto"/>
              <w:right w:val="single" w:sz="4" w:space="0" w:color="auto"/>
            </w:tcBorders>
            <w:shd w:val="clear" w:color="auto" w:fill="auto"/>
            <w:noWrap/>
            <w:hideMark/>
          </w:tcPr>
          <w:p w14:paraId="6DFEBD13" w14:textId="77777777" w:rsidR="00777771" w:rsidRPr="00B14C47" w:rsidRDefault="00777771" w:rsidP="00C13396">
            <w:pPr>
              <w:jc w:val="center"/>
              <w:rPr>
                <w:rFonts w:ascii="Arial" w:hAnsi="Arial" w:cs="Arial"/>
                <w:sz w:val="20"/>
                <w:lang w:eastAsia="bg-BG"/>
              </w:rPr>
            </w:pPr>
          </w:p>
        </w:tc>
        <w:tc>
          <w:tcPr>
            <w:tcW w:w="1843" w:type="dxa"/>
            <w:tcBorders>
              <w:top w:val="nil"/>
              <w:left w:val="nil"/>
              <w:bottom w:val="single" w:sz="4" w:space="0" w:color="auto"/>
              <w:right w:val="single" w:sz="4" w:space="0" w:color="auto"/>
            </w:tcBorders>
            <w:shd w:val="clear" w:color="auto" w:fill="auto"/>
            <w:noWrap/>
            <w:hideMark/>
          </w:tcPr>
          <w:p w14:paraId="60A86AA7" w14:textId="77777777" w:rsidR="00777771" w:rsidRPr="00B14C47" w:rsidRDefault="00777771" w:rsidP="00C13396">
            <w:pPr>
              <w:jc w:val="center"/>
              <w:rPr>
                <w:rFonts w:ascii="Arial" w:hAnsi="Arial" w:cs="Arial"/>
                <w:sz w:val="20"/>
                <w:lang w:eastAsia="bg-BG"/>
              </w:rPr>
            </w:pPr>
          </w:p>
        </w:tc>
      </w:tr>
      <w:tr w:rsidR="008A71BD" w:rsidRPr="00B14C47" w14:paraId="6A7C1D05" w14:textId="77777777" w:rsidTr="00C13396">
        <w:trPr>
          <w:trHeight w:val="255"/>
        </w:trPr>
        <w:tc>
          <w:tcPr>
            <w:tcW w:w="5534" w:type="dxa"/>
            <w:tcBorders>
              <w:top w:val="nil"/>
              <w:left w:val="single" w:sz="4" w:space="0" w:color="auto"/>
              <w:bottom w:val="single" w:sz="4" w:space="0" w:color="auto"/>
              <w:right w:val="single" w:sz="4" w:space="0" w:color="auto"/>
            </w:tcBorders>
            <w:shd w:val="clear" w:color="auto" w:fill="auto"/>
            <w:noWrap/>
            <w:hideMark/>
          </w:tcPr>
          <w:p w14:paraId="6743EB09" w14:textId="3C938499" w:rsidR="008A71BD" w:rsidRPr="00B14C47" w:rsidRDefault="008A71BD" w:rsidP="00B34B92">
            <w:pPr>
              <w:rPr>
                <w:rFonts w:ascii="Arial" w:hAnsi="Arial" w:cs="Arial"/>
                <w:i/>
                <w:iCs/>
                <w:sz w:val="20"/>
                <w:lang w:eastAsia="bg-BG"/>
              </w:rPr>
            </w:pPr>
            <w:r w:rsidRPr="00B14C47">
              <w:rPr>
                <w:rFonts w:ascii="Arial" w:hAnsi="Arial" w:cs="Arial"/>
                <w:i/>
                <w:iCs/>
                <w:sz w:val="20"/>
                <w:lang w:eastAsia="bg-BG"/>
              </w:rPr>
              <w:t>Продължаващи дейности: печалба/</w:t>
            </w:r>
            <w:r w:rsidRPr="00B14C47">
              <w:rPr>
                <w:rFonts w:ascii="Arial" w:hAnsi="Arial" w:cs="Arial"/>
                <w:i/>
                <w:iCs/>
                <w:sz w:val="20"/>
                <w:lang w:val="en-US" w:eastAsia="bg-BG"/>
              </w:rPr>
              <w:t>(</w:t>
            </w:r>
            <w:r w:rsidRPr="00B14C47">
              <w:rPr>
                <w:rFonts w:ascii="Arial" w:hAnsi="Arial" w:cs="Arial"/>
                <w:i/>
                <w:iCs/>
                <w:sz w:val="20"/>
                <w:lang w:eastAsia="bg-BG"/>
              </w:rPr>
              <w:t>загуба</w:t>
            </w:r>
            <w:r w:rsidRPr="00B14C47">
              <w:rPr>
                <w:rFonts w:ascii="Arial" w:hAnsi="Arial" w:cs="Arial"/>
                <w:i/>
                <w:iCs/>
                <w:sz w:val="20"/>
                <w:lang w:val="en-US" w:eastAsia="bg-BG"/>
              </w:rPr>
              <w:t>)</w:t>
            </w:r>
            <w:r w:rsidRPr="00B14C47">
              <w:rPr>
                <w:rFonts w:ascii="Arial" w:hAnsi="Arial" w:cs="Arial"/>
                <w:i/>
                <w:iCs/>
                <w:sz w:val="20"/>
                <w:lang w:eastAsia="bg-BG"/>
              </w:rPr>
              <w:t xml:space="preserve"> за година.</w:t>
            </w:r>
          </w:p>
        </w:tc>
        <w:tc>
          <w:tcPr>
            <w:tcW w:w="2126" w:type="dxa"/>
            <w:tcBorders>
              <w:top w:val="nil"/>
              <w:left w:val="nil"/>
              <w:bottom w:val="single" w:sz="4" w:space="0" w:color="auto"/>
              <w:right w:val="single" w:sz="4" w:space="0" w:color="auto"/>
            </w:tcBorders>
            <w:shd w:val="clear" w:color="auto" w:fill="auto"/>
            <w:noWrap/>
            <w:hideMark/>
          </w:tcPr>
          <w:p w14:paraId="339CA272" w14:textId="72293DBD" w:rsidR="008A71BD" w:rsidRPr="00A80B93" w:rsidRDefault="00C64C55" w:rsidP="00C13396">
            <w:pPr>
              <w:jc w:val="center"/>
              <w:rPr>
                <w:rFonts w:ascii="Arial" w:hAnsi="Arial" w:cs="Arial"/>
                <w:sz w:val="20"/>
                <w:lang w:eastAsia="bg-BG"/>
              </w:rPr>
            </w:pPr>
            <w:r>
              <w:rPr>
                <w:rFonts w:ascii="Arial" w:hAnsi="Arial" w:cs="Arial"/>
                <w:sz w:val="20"/>
                <w:lang w:eastAsia="bg-BG"/>
              </w:rPr>
              <w:t>68</w:t>
            </w:r>
          </w:p>
        </w:tc>
        <w:tc>
          <w:tcPr>
            <w:tcW w:w="1843" w:type="dxa"/>
            <w:tcBorders>
              <w:top w:val="nil"/>
              <w:left w:val="nil"/>
              <w:bottom w:val="single" w:sz="4" w:space="0" w:color="auto"/>
              <w:right w:val="single" w:sz="4" w:space="0" w:color="auto"/>
            </w:tcBorders>
            <w:shd w:val="clear" w:color="auto" w:fill="auto"/>
            <w:noWrap/>
            <w:hideMark/>
          </w:tcPr>
          <w:p w14:paraId="1B10B1A7" w14:textId="497CDA51" w:rsidR="008A71BD" w:rsidRPr="00A80B93" w:rsidRDefault="00C64C55" w:rsidP="00CA2610">
            <w:pPr>
              <w:jc w:val="center"/>
              <w:rPr>
                <w:rFonts w:ascii="Arial" w:hAnsi="Arial" w:cs="Arial"/>
                <w:sz w:val="20"/>
                <w:lang w:eastAsia="bg-BG"/>
              </w:rPr>
            </w:pPr>
            <w:r>
              <w:rPr>
                <w:rFonts w:ascii="Arial" w:hAnsi="Arial" w:cs="Arial"/>
                <w:sz w:val="20"/>
                <w:lang w:eastAsia="bg-BG"/>
              </w:rPr>
              <w:t>99</w:t>
            </w:r>
          </w:p>
        </w:tc>
      </w:tr>
      <w:tr w:rsidR="008A71BD" w:rsidRPr="00B14C47" w14:paraId="750BAEA6" w14:textId="77777777" w:rsidTr="00C13396">
        <w:trPr>
          <w:trHeight w:val="255"/>
        </w:trPr>
        <w:tc>
          <w:tcPr>
            <w:tcW w:w="5534" w:type="dxa"/>
            <w:tcBorders>
              <w:top w:val="nil"/>
              <w:left w:val="single" w:sz="4" w:space="0" w:color="auto"/>
              <w:bottom w:val="single" w:sz="4" w:space="0" w:color="auto"/>
              <w:right w:val="nil"/>
            </w:tcBorders>
            <w:shd w:val="clear" w:color="auto" w:fill="00B0F0"/>
            <w:noWrap/>
            <w:hideMark/>
          </w:tcPr>
          <w:p w14:paraId="3672425A" w14:textId="77777777" w:rsidR="008A71BD" w:rsidRPr="00B14C47" w:rsidRDefault="008A71BD" w:rsidP="00B34B92">
            <w:pPr>
              <w:rPr>
                <w:rFonts w:ascii="Arial" w:hAnsi="Arial" w:cs="Arial"/>
                <w:b/>
                <w:bCs/>
                <w:sz w:val="20"/>
                <w:lang w:val="en-US" w:eastAsia="bg-BG"/>
              </w:rPr>
            </w:pPr>
            <w:r w:rsidRPr="00B14C47">
              <w:rPr>
                <w:rFonts w:ascii="Arial" w:hAnsi="Arial" w:cs="Arial"/>
                <w:b/>
                <w:bCs/>
                <w:sz w:val="20"/>
                <w:lang w:eastAsia="bg-BG"/>
              </w:rPr>
              <w:t>Всичко печалба/</w:t>
            </w:r>
            <w:r w:rsidRPr="00B14C47">
              <w:rPr>
                <w:rFonts w:ascii="Arial" w:hAnsi="Arial" w:cs="Arial"/>
                <w:b/>
                <w:bCs/>
                <w:sz w:val="20"/>
                <w:lang w:val="en-US" w:eastAsia="bg-BG"/>
              </w:rPr>
              <w:t>(</w:t>
            </w:r>
            <w:r w:rsidRPr="00B14C47">
              <w:rPr>
                <w:rFonts w:ascii="Arial" w:hAnsi="Arial" w:cs="Arial"/>
                <w:b/>
                <w:bCs/>
                <w:sz w:val="20"/>
                <w:lang w:eastAsia="bg-BG"/>
              </w:rPr>
              <w:t>загуба</w:t>
            </w:r>
            <w:r w:rsidRPr="00B14C47">
              <w:rPr>
                <w:rFonts w:ascii="Arial" w:hAnsi="Arial" w:cs="Arial"/>
                <w:b/>
                <w:bCs/>
                <w:sz w:val="20"/>
                <w:lang w:val="en-US" w:eastAsia="bg-BG"/>
              </w:rPr>
              <w:t>)</w:t>
            </w:r>
          </w:p>
        </w:tc>
        <w:tc>
          <w:tcPr>
            <w:tcW w:w="2126" w:type="dxa"/>
            <w:tcBorders>
              <w:top w:val="nil"/>
              <w:left w:val="single" w:sz="4" w:space="0" w:color="auto"/>
              <w:bottom w:val="single" w:sz="4" w:space="0" w:color="auto"/>
              <w:right w:val="single" w:sz="4" w:space="0" w:color="auto"/>
            </w:tcBorders>
            <w:shd w:val="clear" w:color="auto" w:fill="00B0F0"/>
            <w:noWrap/>
            <w:hideMark/>
          </w:tcPr>
          <w:p w14:paraId="586841FF" w14:textId="00C7F661" w:rsidR="008A71BD" w:rsidRPr="00A80B93" w:rsidRDefault="00C64C55" w:rsidP="00C13396">
            <w:pPr>
              <w:jc w:val="center"/>
              <w:rPr>
                <w:rFonts w:ascii="Arial" w:hAnsi="Arial" w:cs="Arial"/>
                <w:b/>
                <w:bCs/>
                <w:sz w:val="20"/>
                <w:lang w:eastAsia="bg-BG"/>
              </w:rPr>
            </w:pPr>
            <w:r>
              <w:rPr>
                <w:rFonts w:ascii="Arial" w:hAnsi="Arial" w:cs="Arial"/>
                <w:b/>
                <w:bCs/>
                <w:sz w:val="20"/>
                <w:lang w:eastAsia="bg-BG"/>
              </w:rPr>
              <w:t>68</w:t>
            </w:r>
          </w:p>
        </w:tc>
        <w:tc>
          <w:tcPr>
            <w:tcW w:w="1843" w:type="dxa"/>
            <w:tcBorders>
              <w:top w:val="nil"/>
              <w:left w:val="nil"/>
              <w:bottom w:val="single" w:sz="4" w:space="0" w:color="auto"/>
              <w:right w:val="single" w:sz="4" w:space="0" w:color="auto"/>
            </w:tcBorders>
            <w:shd w:val="clear" w:color="auto" w:fill="00B0F0"/>
            <w:noWrap/>
            <w:hideMark/>
          </w:tcPr>
          <w:p w14:paraId="32B8C288" w14:textId="7153817E" w:rsidR="008A71BD" w:rsidRPr="00A80B93" w:rsidRDefault="00C64C55" w:rsidP="00CA2610">
            <w:pPr>
              <w:jc w:val="center"/>
              <w:rPr>
                <w:rFonts w:ascii="Arial" w:hAnsi="Arial" w:cs="Arial"/>
                <w:b/>
                <w:bCs/>
                <w:sz w:val="20"/>
                <w:lang w:eastAsia="bg-BG"/>
              </w:rPr>
            </w:pPr>
            <w:r>
              <w:rPr>
                <w:rFonts w:ascii="Arial" w:hAnsi="Arial" w:cs="Arial"/>
                <w:b/>
                <w:sz w:val="20"/>
                <w:lang w:eastAsia="bg-BG"/>
              </w:rPr>
              <w:t>99</w:t>
            </w:r>
          </w:p>
        </w:tc>
      </w:tr>
      <w:tr w:rsidR="008A71BD" w:rsidRPr="00B14C47" w14:paraId="29726B98" w14:textId="77777777" w:rsidTr="00C13396">
        <w:trPr>
          <w:trHeight w:val="255"/>
        </w:trPr>
        <w:tc>
          <w:tcPr>
            <w:tcW w:w="5534" w:type="dxa"/>
            <w:tcBorders>
              <w:top w:val="nil"/>
              <w:left w:val="single" w:sz="4" w:space="0" w:color="auto"/>
              <w:bottom w:val="single" w:sz="4" w:space="0" w:color="auto"/>
              <w:right w:val="nil"/>
            </w:tcBorders>
            <w:shd w:val="clear" w:color="auto" w:fill="00B0F0"/>
            <w:noWrap/>
            <w:hideMark/>
          </w:tcPr>
          <w:p w14:paraId="5C380EF0" w14:textId="77777777" w:rsidR="008A71BD" w:rsidRPr="00B14C47" w:rsidRDefault="008A71BD" w:rsidP="00B34B92">
            <w:pPr>
              <w:rPr>
                <w:rFonts w:ascii="Arial" w:hAnsi="Arial" w:cs="Arial"/>
                <w:b/>
                <w:bCs/>
                <w:sz w:val="20"/>
                <w:lang w:val="en-US" w:eastAsia="bg-BG"/>
              </w:rPr>
            </w:pPr>
            <w:r w:rsidRPr="00B14C47">
              <w:rPr>
                <w:rFonts w:ascii="Arial" w:hAnsi="Arial" w:cs="Arial"/>
                <w:b/>
                <w:bCs/>
                <w:sz w:val="20"/>
                <w:lang w:eastAsia="bg-BG"/>
              </w:rPr>
              <w:t xml:space="preserve">Нетна печалба / </w:t>
            </w:r>
            <w:r w:rsidRPr="00B14C47">
              <w:rPr>
                <w:rFonts w:ascii="Arial" w:hAnsi="Arial" w:cs="Arial"/>
                <w:b/>
                <w:bCs/>
                <w:sz w:val="20"/>
                <w:lang w:val="en-US" w:eastAsia="bg-BG"/>
              </w:rPr>
              <w:t>(</w:t>
            </w:r>
            <w:r w:rsidRPr="00B14C47">
              <w:rPr>
                <w:rFonts w:ascii="Arial" w:hAnsi="Arial" w:cs="Arial"/>
                <w:b/>
                <w:bCs/>
                <w:sz w:val="20"/>
                <w:lang w:eastAsia="bg-BG"/>
              </w:rPr>
              <w:t>загуба</w:t>
            </w:r>
            <w:r w:rsidRPr="00B14C47">
              <w:rPr>
                <w:rFonts w:ascii="Arial" w:hAnsi="Arial" w:cs="Arial"/>
                <w:b/>
                <w:bCs/>
                <w:sz w:val="20"/>
                <w:lang w:val="en-US" w:eastAsia="bg-BG"/>
              </w:rPr>
              <w:t>)</w:t>
            </w:r>
          </w:p>
        </w:tc>
        <w:tc>
          <w:tcPr>
            <w:tcW w:w="2126" w:type="dxa"/>
            <w:tcBorders>
              <w:top w:val="nil"/>
              <w:left w:val="single" w:sz="4" w:space="0" w:color="auto"/>
              <w:bottom w:val="single" w:sz="4" w:space="0" w:color="auto"/>
              <w:right w:val="single" w:sz="4" w:space="0" w:color="auto"/>
            </w:tcBorders>
            <w:shd w:val="clear" w:color="auto" w:fill="00B0F0"/>
            <w:noWrap/>
            <w:hideMark/>
          </w:tcPr>
          <w:p w14:paraId="6DA1F81C" w14:textId="6CDF6AB8" w:rsidR="008A71BD" w:rsidRPr="00A80B93" w:rsidRDefault="00C64C55" w:rsidP="00C13396">
            <w:pPr>
              <w:jc w:val="center"/>
              <w:rPr>
                <w:rFonts w:ascii="Arial" w:hAnsi="Arial" w:cs="Arial"/>
                <w:b/>
                <w:bCs/>
                <w:sz w:val="20"/>
                <w:lang w:eastAsia="bg-BG"/>
              </w:rPr>
            </w:pPr>
            <w:r>
              <w:rPr>
                <w:rFonts w:ascii="Arial" w:hAnsi="Arial" w:cs="Arial"/>
                <w:b/>
                <w:bCs/>
                <w:sz w:val="20"/>
                <w:lang w:eastAsia="bg-BG"/>
              </w:rPr>
              <w:t>68</w:t>
            </w:r>
          </w:p>
        </w:tc>
        <w:tc>
          <w:tcPr>
            <w:tcW w:w="1843" w:type="dxa"/>
            <w:tcBorders>
              <w:top w:val="nil"/>
              <w:left w:val="nil"/>
              <w:bottom w:val="single" w:sz="4" w:space="0" w:color="auto"/>
              <w:right w:val="single" w:sz="4" w:space="0" w:color="auto"/>
            </w:tcBorders>
            <w:shd w:val="clear" w:color="auto" w:fill="00B0F0"/>
            <w:noWrap/>
            <w:hideMark/>
          </w:tcPr>
          <w:p w14:paraId="79B82BBA" w14:textId="44278338" w:rsidR="008A71BD" w:rsidRPr="00A80B93" w:rsidRDefault="00C64C55" w:rsidP="00CA2610">
            <w:pPr>
              <w:jc w:val="center"/>
              <w:rPr>
                <w:rFonts w:ascii="Arial" w:hAnsi="Arial" w:cs="Arial"/>
                <w:b/>
                <w:bCs/>
                <w:sz w:val="20"/>
                <w:lang w:eastAsia="bg-BG"/>
              </w:rPr>
            </w:pPr>
            <w:r>
              <w:rPr>
                <w:rFonts w:ascii="Arial" w:hAnsi="Arial" w:cs="Arial"/>
                <w:b/>
                <w:sz w:val="20"/>
                <w:lang w:eastAsia="bg-BG"/>
              </w:rPr>
              <w:t>99</w:t>
            </w:r>
          </w:p>
        </w:tc>
      </w:tr>
      <w:tr w:rsidR="008A71BD" w:rsidRPr="00B14C47" w14:paraId="36046A16" w14:textId="77777777" w:rsidTr="00C13396">
        <w:trPr>
          <w:trHeight w:val="255"/>
        </w:trPr>
        <w:tc>
          <w:tcPr>
            <w:tcW w:w="5534" w:type="dxa"/>
            <w:tcBorders>
              <w:top w:val="nil"/>
              <w:left w:val="nil"/>
              <w:bottom w:val="nil"/>
              <w:right w:val="nil"/>
            </w:tcBorders>
            <w:shd w:val="clear" w:color="000000" w:fill="C0C0C0"/>
            <w:noWrap/>
            <w:hideMark/>
          </w:tcPr>
          <w:p w14:paraId="259664C9" w14:textId="77777777" w:rsidR="008A71BD" w:rsidRPr="00B14C47" w:rsidRDefault="008A71BD" w:rsidP="00C13396">
            <w:pPr>
              <w:jc w:val="center"/>
              <w:rPr>
                <w:rFonts w:ascii="Arial" w:hAnsi="Arial" w:cs="Arial"/>
                <w:sz w:val="20"/>
                <w:lang w:eastAsia="bg-BG"/>
              </w:rPr>
            </w:pPr>
          </w:p>
        </w:tc>
        <w:tc>
          <w:tcPr>
            <w:tcW w:w="2126" w:type="dxa"/>
            <w:tcBorders>
              <w:top w:val="nil"/>
              <w:left w:val="nil"/>
              <w:bottom w:val="nil"/>
              <w:right w:val="nil"/>
            </w:tcBorders>
            <w:shd w:val="clear" w:color="000000" w:fill="C0C0C0"/>
            <w:noWrap/>
            <w:hideMark/>
          </w:tcPr>
          <w:p w14:paraId="15A54033" w14:textId="77777777" w:rsidR="008A71BD" w:rsidRPr="00B14C47" w:rsidRDefault="008A71BD" w:rsidP="00C13396">
            <w:pPr>
              <w:jc w:val="center"/>
              <w:rPr>
                <w:rFonts w:ascii="Arial" w:hAnsi="Arial" w:cs="Arial"/>
                <w:sz w:val="20"/>
                <w:lang w:eastAsia="bg-BG"/>
              </w:rPr>
            </w:pPr>
          </w:p>
        </w:tc>
        <w:tc>
          <w:tcPr>
            <w:tcW w:w="1843" w:type="dxa"/>
            <w:tcBorders>
              <w:top w:val="nil"/>
              <w:left w:val="nil"/>
              <w:bottom w:val="nil"/>
              <w:right w:val="nil"/>
            </w:tcBorders>
            <w:shd w:val="clear" w:color="000000" w:fill="C0C0C0"/>
            <w:noWrap/>
            <w:hideMark/>
          </w:tcPr>
          <w:p w14:paraId="7F9C9B72" w14:textId="77777777" w:rsidR="008A71BD" w:rsidRPr="00B14C47" w:rsidRDefault="008A71BD" w:rsidP="00CA2610">
            <w:pPr>
              <w:jc w:val="center"/>
              <w:rPr>
                <w:rFonts w:ascii="Arial" w:hAnsi="Arial" w:cs="Arial"/>
                <w:sz w:val="20"/>
                <w:lang w:eastAsia="bg-BG"/>
              </w:rPr>
            </w:pPr>
          </w:p>
        </w:tc>
      </w:tr>
      <w:tr w:rsidR="008A71BD" w:rsidRPr="00B14C47" w14:paraId="15036FA1" w14:textId="77777777" w:rsidTr="00C13396">
        <w:trPr>
          <w:trHeight w:val="255"/>
        </w:trPr>
        <w:tc>
          <w:tcPr>
            <w:tcW w:w="5534" w:type="dxa"/>
            <w:tcBorders>
              <w:top w:val="single" w:sz="4" w:space="0" w:color="auto"/>
              <w:left w:val="single" w:sz="4" w:space="0" w:color="auto"/>
              <w:bottom w:val="single" w:sz="4" w:space="0" w:color="auto"/>
              <w:right w:val="single" w:sz="4" w:space="0" w:color="auto"/>
            </w:tcBorders>
            <w:shd w:val="clear" w:color="auto" w:fill="auto"/>
            <w:noWrap/>
            <w:hideMark/>
          </w:tcPr>
          <w:p w14:paraId="6266A9A1" w14:textId="77777777" w:rsidR="008A71BD" w:rsidRPr="00B14C47" w:rsidRDefault="008A71BD" w:rsidP="00C13396">
            <w:pPr>
              <w:jc w:val="center"/>
              <w:rPr>
                <w:rFonts w:ascii="Arial" w:hAnsi="Arial" w:cs="Arial"/>
                <w:b/>
                <w:bCs/>
                <w:sz w:val="20"/>
                <w:lang w:eastAsia="bg-BG"/>
              </w:rPr>
            </w:pPr>
            <w:r w:rsidRPr="00B14C47">
              <w:rPr>
                <w:rFonts w:ascii="Arial" w:hAnsi="Arial" w:cs="Arial"/>
                <w:b/>
                <w:bCs/>
                <w:sz w:val="20"/>
                <w:lang w:eastAsia="bg-BG"/>
              </w:rPr>
              <w:t>Знаменател: средно претегления брой на акции</w:t>
            </w:r>
          </w:p>
        </w:tc>
        <w:tc>
          <w:tcPr>
            <w:tcW w:w="2126" w:type="dxa"/>
            <w:tcBorders>
              <w:top w:val="single" w:sz="4" w:space="0" w:color="auto"/>
              <w:left w:val="nil"/>
              <w:bottom w:val="single" w:sz="4" w:space="0" w:color="auto"/>
              <w:right w:val="single" w:sz="4" w:space="0" w:color="auto"/>
            </w:tcBorders>
            <w:shd w:val="clear" w:color="auto" w:fill="auto"/>
            <w:noWrap/>
            <w:hideMark/>
          </w:tcPr>
          <w:p w14:paraId="178664F3" w14:textId="77777777" w:rsidR="008A71BD" w:rsidRPr="00B14C47" w:rsidRDefault="008A71BD" w:rsidP="00C13396">
            <w:pPr>
              <w:jc w:val="center"/>
              <w:rPr>
                <w:rFonts w:ascii="Arial" w:hAnsi="Arial" w:cs="Arial"/>
                <w:sz w:val="20"/>
                <w:lang w:eastAsia="bg-BG"/>
              </w:rPr>
            </w:pPr>
            <w:r w:rsidRPr="00B14C47">
              <w:rPr>
                <w:rFonts w:ascii="Arial" w:hAnsi="Arial" w:cs="Arial"/>
                <w:sz w:val="20"/>
                <w:lang w:eastAsia="bg-BG"/>
              </w:rPr>
              <w:t>58 362 963</w:t>
            </w:r>
          </w:p>
        </w:tc>
        <w:tc>
          <w:tcPr>
            <w:tcW w:w="1843" w:type="dxa"/>
            <w:tcBorders>
              <w:top w:val="single" w:sz="4" w:space="0" w:color="auto"/>
              <w:left w:val="nil"/>
              <w:bottom w:val="single" w:sz="4" w:space="0" w:color="auto"/>
              <w:right w:val="single" w:sz="4" w:space="0" w:color="auto"/>
            </w:tcBorders>
            <w:shd w:val="clear" w:color="auto" w:fill="auto"/>
            <w:noWrap/>
            <w:hideMark/>
          </w:tcPr>
          <w:p w14:paraId="19DB817E" w14:textId="77777777" w:rsidR="008A71BD" w:rsidRPr="00B14C47" w:rsidRDefault="008A71BD" w:rsidP="00CA2610">
            <w:pPr>
              <w:jc w:val="center"/>
              <w:rPr>
                <w:rFonts w:ascii="Arial" w:hAnsi="Arial" w:cs="Arial"/>
                <w:sz w:val="20"/>
                <w:lang w:eastAsia="bg-BG"/>
              </w:rPr>
            </w:pPr>
            <w:r w:rsidRPr="00B14C47">
              <w:rPr>
                <w:rFonts w:ascii="Arial" w:hAnsi="Arial" w:cs="Arial"/>
                <w:sz w:val="20"/>
                <w:lang w:eastAsia="bg-BG"/>
              </w:rPr>
              <w:t>58 362 963</w:t>
            </w:r>
          </w:p>
        </w:tc>
      </w:tr>
      <w:tr w:rsidR="008A71BD" w:rsidRPr="00B14C47" w14:paraId="2B1EE309" w14:textId="77777777" w:rsidTr="00C13396">
        <w:trPr>
          <w:trHeight w:val="255"/>
        </w:trPr>
        <w:tc>
          <w:tcPr>
            <w:tcW w:w="5534" w:type="dxa"/>
            <w:tcBorders>
              <w:top w:val="nil"/>
              <w:left w:val="single" w:sz="4" w:space="0" w:color="auto"/>
              <w:bottom w:val="single" w:sz="4" w:space="0" w:color="auto"/>
              <w:right w:val="single" w:sz="4" w:space="0" w:color="auto"/>
            </w:tcBorders>
            <w:shd w:val="clear" w:color="000000" w:fill="DBE5F1"/>
            <w:noWrap/>
          </w:tcPr>
          <w:p w14:paraId="3FDE3773" w14:textId="77777777" w:rsidR="008A71BD" w:rsidRPr="00B14C47" w:rsidRDefault="008A71BD" w:rsidP="00C13396">
            <w:pPr>
              <w:jc w:val="center"/>
              <w:rPr>
                <w:rFonts w:ascii="Arial" w:hAnsi="Arial" w:cs="Arial"/>
                <w:sz w:val="20"/>
                <w:lang w:eastAsia="bg-BG"/>
              </w:rPr>
            </w:pPr>
          </w:p>
        </w:tc>
        <w:tc>
          <w:tcPr>
            <w:tcW w:w="2126" w:type="dxa"/>
            <w:tcBorders>
              <w:top w:val="nil"/>
              <w:left w:val="nil"/>
              <w:bottom w:val="single" w:sz="4" w:space="0" w:color="auto"/>
              <w:right w:val="single" w:sz="4" w:space="0" w:color="auto"/>
            </w:tcBorders>
            <w:shd w:val="clear" w:color="000000" w:fill="DBE5F1"/>
            <w:noWrap/>
          </w:tcPr>
          <w:p w14:paraId="4B0206F3" w14:textId="77777777" w:rsidR="008A71BD" w:rsidRPr="00B14C47" w:rsidRDefault="008A71BD" w:rsidP="00C13396">
            <w:pPr>
              <w:jc w:val="center"/>
              <w:rPr>
                <w:rFonts w:ascii="Arial" w:hAnsi="Arial" w:cs="Arial"/>
                <w:sz w:val="20"/>
                <w:lang w:eastAsia="bg-BG"/>
              </w:rPr>
            </w:pPr>
          </w:p>
        </w:tc>
        <w:tc>
          <w:tcPr>
            <w:tcW w:w="1843" w:type="dxa"/>
            <w:tcBorders>
              <w:top w:val="nil"/>
              <w:left w:val="nil"/>
              <w:bottom w:val="single" w:sz="4" w:space="0" w:color="auto"/>
              <w:right w:val="single" w:sz="4" w:space="0" w:color="auto"/>
            </w:tcBorders>
            <w:shd w:val="clear" w:color="000000" w:fill="DBE5F1"/>
            <w:noWrap/>
          </w:tcPr>
          <w:p w14:paraId="27D17FC1" w14:textId="77777777" w:rsidR="008A71BD" w:rsidRPr="00B14C47" w:rsidRDefault="008A71BD" w:rsidP="00CA2610">
            <w:pPr>
              <w:jc w:val="center"/>
              <w:rPr>
                <w:rFonts w:ascii="Arial" w:hAnsi="Arial" w:cs="Arial"/>
                <w:sz w:val="20"/>
                <w:lang w:val="en-US" w:eastAsia="bg-BG"/>
              </w:rPr>
            </w:pPr>
          </w:p>
        </w:tc>
      </w:tr>
      <w:tr w:rsidR="008A71BD" w:rsidRPr="00B14C47" w14:paraId="312833C0" w14:textId="77777777" w:rsidTr="00C13396">
        <w:trPr>
          <w:trHeight w:val="219"/>
        </w:trPr>
        <w:tc>
          <w:tcPr>
            <w:tcW w:w="5534" w:type="dxa"/>
            <w:tcBorders>
              <w:top w:val="nil"/>
              <w:left w:val="single" w:sz="4" w:space="0" w:color="auto"/>
              <w:bottom w:val="single" w:sz="4" w:space="0" w:color="auto"/>
              <w:right w:val="nil"/>
            </w:tcBorders>
            <w:shd w:val="clear" w:color="auto" w:fill="00B0F0"/>
            <w:noWrap/>
            <w:hideMark/>
          </w:tcPr>
          <w:p w14:paraId="5AF89487" w14:textId="77777777" w:rsidR="008A71BD" w:rsidRPr="00B14C47" w:rsidRDefault="008A71BD" w:rsidP="00B34B92">
            <w:pPr>
              <w:rPr>
                <w:rFonts w:ascii="Arial" w:hAnsi="Arial" w:cs="Arial"/>
                <w:b/>
                <w:bCs/>
                <w:sz w:val="20"/>
                <w:lang w:eastAsia="bg-BG"/>
              </w:rPr>
            </w:pPr>
            <w:r w:rsidRPr="00B14C47">
              <w:rPr>
                <w:rFonts w:ascii="Arial" w:hAnsi="Arial" w:cs="Arial"/>
                <w:b/>
                <w:bCs/>
                <w:sz w:val="20"/>
                <w:lang w:eastAsia="bg-BG"/>
              </w:rPr>
              <w:t>Равнение</w:t>
            </w:r>
          </w:p>
        </w:tc>
        <w:tc>
          <w:tcPr>
            <w:tcW w:w="2126" w:type="dxa"/>
            <w:tcBorders>
              <w:top w:val="nil"/>
              <w:left w:val="single" w:sz="4" w:space="0" w:color="auto"/>
              <w:bottom w:val="single" w:sz="4" w:space="0" w:color="auto"/>
              <w:right w:val="single" w:sz="4" w:space="0" w:color="auto"/>
            </w:tcBorders>
            <w:shd w:val="clear" w:color="auto" w:fill="00B0F0"/>
            <w:noWrap/>
            <w:hideMark/>
          </w:tcPr>
          <w:p w14:paraId="0D66EB18" w14:textId="77777777" w:rsidR="008A71BD" w:rsidRPr="00B14C47" w:rsidRDefault="008A71BD" w:rsidP="00C13396">
            <w:pPr>
              <w:jc w:val="center"/>
              <w:rPr>
                <w:rFonts w:ascii="Arial" w:hAnsi="Arial" w:cs="Arial"/>
                <w:b/>
                <w:bCs/>
                <w:sz w:val="20"/>
                <w:lang w:eastAsia="bg-BG"/>
              </w:rPr>
            </w:pPr>
            <w:r w:rsidRPr="00B14C47">
              <w:rPr>
                <w:rFonts w:ascii="Arial" w:hAnsi="Arial" w:cs="Arial"/>
                <w:b/>
                <w:bCs/>
                <w:sz w:val="20"/>
                <w:lang w:eastAsia="bg-BG"/>
              </w:rPr>
              <w:t>58 362 963</w:t>
            </w:r>
          </w:p>
        </w:tc>
        <w:tc>
          <w:tcPr>
            <w:tcW w:w="1843" w:type="dxa"/>
            <w:tcBorders>
              <w:top w:val="nil"/>
              <w:left w:val="nil"/>
              <w:bottom w:val="single" w:sz="4" w:space="0" w:color="auto"/>
              <w:right w:val="single" w:sz="4" w:space="0" w:color="auto"/>
            </w:tcBorders>
            <w:shd w:val="clear" w:color="auto" w:fill="00B0F0"/>
            <w:noWrap/>
            <w:hideMark/>
          </w:tcPr>
          <w:p w14:paraId="4055A859" w14:textId="77777777" w:rsidR="008A71BD" w:rsidRPr="00B14C47" w:rsidRDefault="008A71BD" w:rsidP="00CA2610">
            <w:pPr>
              <w:jc w:val="center"/>
              <w:rPr>
                <w:rFonts w:ascii="Arial" w:hAnsi="Arial" w:cs="Arial"/>
                <w:b/>
                <w:bCs/>
                <w:sz w:val="20"/>
                <w:lang w:eastAsia="bg-BG"/>
              </w:rPr>
            </w:pPr>
            <w:r w:rsidRPr="00B14C47">
              <w:rPr>
                <w:rFonts w:ascii="Arial" w:hAnsi="Arial" w:cs="Arial"/>
                <w:b/>
                <w:bCs/>
                <w:sz w:val="20"/>
                <w:lang w:eastAsia="bg-BG"/>
              </w:rPr>
              <w:t>58 362 963</w:t>
            </w:r>
          </w:p>
        </w:tc>
      </w:tr>
      <w:tr w:rsidR="008A71BD" w:rsidRPr="00B14C47" w14:paraId="2537FBAB" w14:textId="77777777" w:rsidTr="00C13396">
        <w:trPr>
          <w:trHeight w:val="255"/>
        </w:trPr>
        <w:tc>
          <w:tcPr>
            <w:tcW w:w="5534" w:type="dxa"/>
            <w:tcBorders>
              <w:top w:val="nil"/>
              <w:left w:val="single" w:sz="4" w:space="0" w:color="auto"/>
              <w:bottom w:val="single" w:sz="4" w:space="0" w:color="auto"/>
              <w:right w:val="nil"/>
            </w:tcBorders>
            <w:shd w:val="clear" w:color="auto" w:fill="00B0F0"/>
            <w:noWrap/>
            <w:hideMark/>
          </w:tcPr>
          <w:p w14:paraId="6E562949" w14:textId="0252A4F2" w:rsidR="008A71BD" w:rsidRPr="00B14C47" w:rsidRDefault="00E34E83" w:rsidP="00B34B92">
            <w:pPr>
              <w:rPr>
                <w:rFonts w:ascii="Arial" w:hAnsi="Arial" w:cs="Arial"/>
                <w:b/>
                <w:bCs/>
                <w:sz w:val="20"/>
                <w:lang w:eastAsia="bg-BG"/>
              </w:rPr>
            </w:pPr>
            <w:r w:rsidRPr="00B14C47">
              <w:rPr>
                <w:rFonts w:ascii="Arial" w:hAnsi="Arial" w:cs="Arial"/>
                <w:b/>
                <w:bCs/>
                <w:sz w:val="20"/>
                <w:lang w:eastAsia="bg-BG"/>
              </w:rPr>
              <w:t xml:space="preserve">Нетна печалба / </w:t>
            </w:r>
            <w:r w:rsidRPr="00B14C47">
              <w:rPr>
                <w:rFonts w:ascii="Arial" w:hAnsi="Arial" w:cs="Arial"/>
                <w:b/>
                <w:bCs/>
                <w:sz w:val="20"/>
                <w:lang w:val="en-US" w:eastAsia="bg-BG"/>
              </w:rPr>
              <w:t>(</w:t>
            </w:r>
            <w:r w:rsidRPr="00B14C47">
              <w:rPr>
                <w:rFonts w:ascii="Arial" w:hAnsi="Arial" w:cs="Arial"/>
                <w:b/>
                <w:bCs/>
                <w:sz w:val="20"/>
                <w:lang w:eastAsia="bg-BG"/>
              </w:rPr>
              <w:t>загуба</w:t>
            </w:r>
            <w:r w:rsidRPr="00B14C47">
              <w:rPr>
                <w:rFonts w:ascii="Arial" w:hAnsi="Arial" w:cs="Arial"/>
                <w:b/>
                <w:bCs/>
                <w:sz w:val="20"/>
                <w:lang w:val="en-US" w:eastAsia="bg-BG"/>
              </w:rPr>
              <w:t>)</w:t>
            </w:r>
            <w:r w:rsidR="008A71BD" w:rsidRPr="00B14C47">
              <w:rPr>
                <w:rFonts w:ascii="Arial" w:hAnsi="Arial" w:cs="Arial"/>
                <w:b/>
                <w:bCs/>
                <w:sz w:val="20"/>
                <w:lang w:eastAsia="bg-BG"/>
              </w:rPr>
              <w:t xml:space="preserve"> на акция ВGN</w:t>
            </w:r>
          </w:p>
        </w:tc>
        <w:tc>
          <w:tcPr>
            <w:tcW w:w="2126" w:type="dxa"/>
            <w:tcBorders>
              <w:top w:val="nil"/>
              <w:left w:val="single" w:sz="4" w:space="0" w:color="auto"/>
              <w:bottom w:val="single" w:sz="4" w:space="0" w:color="auto"/>
              <w:right w:val="single" w:sz="4" w:space="0" w:color="auto"/>
            </w:tcBorders>
            <w:shd w:val="clear" w:color="auto" w:fill="00B0F0"/>
            <w:noWrap/>
            <w:hideMark/>
          </w:tcPr>
          <w:p w14:paraId="7A7ABBDE" w14:textId="7034AD6D" w:rsidR="008A71BD" w:rsidRPr="00B14C47" w:rsidRDefault="0047342D" w:rsidP="00C13396">
            <w:pPr>
              <w:jc w:val="center"/>
              <w:rPr>
                <w:rFonts w:ascii="Arial" w:hAnsi="Arial" w:cs="Arial"/>
                <w:b/>
                <w:bCs/>
                <w:sz w:val="20"/>
                <w:lang w:val="en-US" w:eastAsia="bg-BG"/>
              </w:rPr>
            </w:pPr>
            <w:r w:rsidRPr="00B14C47">
              <w:rPr>
                <w:rFonts w:ascii="Arial" w:hAnsi="Arial" w:cs="Arial"/>
                <w:b/>
                <w:bCs/>
                <w:sz w:val="20"/>
                <w:lang w:val="en-GB" w:eastAsia="bg-BG"/>
              </w:rPr>
              <w:t>(</w:t>
            </w:r>
            <w:r w:rsidR="008A71BD" w:rsidRPr="00B14C47">
              <w:rPr>
                <w:rFonts w:ascii="Arial" w:hAnsi="Arial" w:cs="Arial"/>
                <w:b/>
                <w:bCs/>
                <w:sz w:val="20"/>
                <w:lang w:eastAsia="bg-BG"/>
              </w:rPr>
              <w:t>0,</w:t>
            </w:r>
            <w:r w:rsidR="00E34E83" w:rsidRPr="00B14C47">
              <w:rPr>
                <w:rFonts w:ascii="Arial" w:hAnsi="Arial" w:cs="Arial"/>
                <w:b/>
                <w:bCs/>
                <w:sz w:val="20"/>
                <w:lang w:eastAsia="bg-BG"/>
              </w:rPr>
              <w:t>00</w:t>
            </w:r>
            <w:r w:rsidR="002B2E78">
              <w:rPr>
                <w:rFonts w:ascii="Arial" w:hAnsi="Arial" w:cs="Arial"/>
                <w:b/>
                <w:bCs/>
                <w:sz w:val="20"/>
                <w:lang w:eastAsia="bg-BG"/>
              </w:rPr>
              <w:t>0</w:t>
            </w:r>
            <w:r w:rsidR="00A80B93">
              <w:rPr>
                <w:rFonts w:ascii="Arial" w:hAnsi="Arial" w:cs="Arial"/>
                <w:b/>
                <w:bCs/>
                <w:sz w:val="20"/>
                <w:lang w:eastAsia="bg-BG"/>
              </w:rPr>
              <w:t>0</w:t>
            </w:r>
            <w:r w:rsidRPr="00B14C47">
              <w:rPr>
                <w:rFonts w:ascii="Arial" w:hAnsi="Arial" w:cs="Arial"/>
                <w:b/>
                <w:bCs/>
                <w:sz w:val="20"/>
                <w:lang w:val="en-US" w:eastAsia="bg-BG"/>
              </w:rPr>
              <w:t>)</w:t>
            </w:r>
          </w:p>
        </w:tc>
        <w:tc>
          <w:tcPr>
            <w:tcW w:w="1843" w:type="dxa"/>
            <w:tcBorders>
              <w:top w:val="nil"/>
              <w:left w:val="nil"/>
              <w:bottom w:val="single" w:sz="4" w:space="0" w:color="auto"/>
              <w:right w:val="single" w:sz="4" w:space="0" w:color="auto"/>
            </w:tcBorders>
            <w:shd w:val="clear" w:color="auto" w:fill="00B0F0"/>
            <w:noWrap/>
            <w:hideMark/>
          </w:tcPr>
          <w:p w14:paraId="518638A5" w14:textId="46596D73" w:rsidR="008A71BD" w:rsidRPr="00B14C47" w:rsidRDefault="0047342D" w:rsidP="00CA2610">
            <w:pPr>
              <w:jc w:val="center"/>
              <w:rPr>
                <w:rFonts w:ascii="Arial" w:hAnsi="Arial" w:cs="Arial"/>
                <w:b/>
                <w:bCs/>
                <w:sz w:val="20"/>
                <w:lang w:val="en-GB" w:eastAsia="bg-BG"/>
              </w:rPr>
            </w:pPr>
            <w:r w:rsidRPr="00B14C47">
              <w:rPr>
                <w:rFonts w:ascii="Arial" w:hAnsi="Arial" w:cs="Arial"/>
                <w:b/>
                <w:bCs/>
                <w:sz w:val="20"/>
                <w:lang w:val="en-GB" w:eastAsia="bg-BG"/>
              </w:rPr>
              <w:t>(</w:t>
            </w:r>
            <w:r w:rsidR="00472C03" w:rsidRPr="00B14C47">
              <w:rPr>
                <w:rFonts w:ascii="Arial" w:hAnsi="Arial" w:cs="Arial"/>
                <w:b/>
                <w:bCs/>
                <w:sz w:val="20"/>
                <w:lang w:eastAsia="bg-BG"/>
              </w:rPr>
              <w:t>0,0</w:t>
            </w:r>
            <w:r w:rsidR="00A80B93">
              <w:rPr>
                <w:rFonts w:ascii="Arial" w:hAnsi="Arial" w:cs="Arial"/>
                <w:b/>
                <w:bCs/>
                <w:sz w:val="20"/>
                <w:lang w:eastAsia="bg-BG"/>
              </w:rPr>
              <w:t>0</w:t>
            </w:r>
            <w:r w:rsidR="00472C03" w:rsidRPr="00B14C47">
              <w:rPr>
                <w:rFonts w:ascii="Arial" w:hAnsi="Arial" w:cs="Arial"/>
                <w:b/>
                <w:bCs/>
                <w:sz w:val="20"/>
                <w:lang w:eastAsia="bg-BG"/>
              </w:rPr>
              <w:t>0</w:t>
            </w:r>
            <w:r w:rsidR="00A80B93">
              <w:rPr>
                <w:rFonts w:ascii="Arial" w:hAnsi="Arial" w:cs="Arial"/>
                <w:b/>
                <w:bCs/>
                <w:sz w:val="20"/>
                <w:lang w:eastAsia="bg-BG"/>
              </w:rPr>
              <w:t>0</w:t>
            </w:r>
            <w:r w:rsidRPr="00B14C47">
              <w:rPr>
                <w:rFonts w:ascii="Arial" w:hAnsi="Arial" w:cs="Arial"/>
                <w:b/>
                <w:bCs/>
                <w:sz w:val="20"/>
                <w:lang w:val="en-GB" w:eastAsia="bg-BG"/>
              </w:rPr>
              <w:t>)</w:t>
            </w:r>
          </w:p>
        </w:tc>
      </w:tr>
    </w:tbl>
    <w:p w14:paraId="6FBE8DE9" w14:textId="77777777" w:rsidR="00B66DF8" w:rsidRPr="00B14C47" w:rsidRDefault="00B66DF8" w:rsidP="00B66DF8">
      <w:pPr>
        <w:rPr>
          <w:rFonts w:ascii="Arial" w:hAnsi="Arial" w:cs="Arial"/>
          <w:b/>
          <w:sz w:val="20"/>
        </w:rPr>
      </w:pPr>
    </w:p>
    <w:p w14:paraId="7C5705B9" w14:textId="77777777" w:rsidR="00AB5445" w:rsidRPr="00B14C47" w:rsidRDefault="00AB5445" w:rsidP="00B66DF8">
      <w:pPr>
        <w:rPr>
          <w:rFonts w:ascii="Arial" w:hAnsi="Arial" w:cs="Arial"/>
          <w:b/>
          <w:sz w:val="20"/>
        </w:rPr>
      </w:pPr>
    </w:p>
    <w:p w14:paraId="31838192" w14:textId="77777777" w:rsidR="00B66DF8" w:rsidRPr="00B14C47" w:rsidRDefault="00B66DF8" w:rsidP="00B66DF8">
      <w:pPr>
        <w:pStyle w:val="Heading2"/>
        <w:rPr>
          <w:rFonts w:ascii="Arial" w:hAnsi="Arial" w:cs="Arial"/>
          <w:i/>
          <w:sz w:val="20"/>
          <w:szCs w:val="20"/>
          <w:u w:val="single"/>
          <w:lang w:val="bg-BG"/>
        </w:rPr>
      </w:pPr>
      <w:bookmarkStart w:id="129" w:name="_Toc247959175"/>
      <w:bookmarkStart w:id="130" w:name="_Toc164268371"/>
      <w:r w:rsidRPr="00B14C47">
        <w:rPr>
          <w:rFonts w:ascii="Arial" w:hAnsi="Arial" w:cs="Arial"/>
          <w:i/>
          <w:sz w:val="20"/>
          <w:szCs w:val="20"/>
          <w:u w:val="single"/>
          <w:lang w:val="bg-BG"/>
        </w:rPr>
        <w:t xml:space="preserve">2. </w:t>
      </w:r>
      <w:r w:rsidR="004C7430" w:rsidRPr="00B14C47">
        <w:rPr>
          <w:rFonts w:ascii="Arial" w:hAnsi="Arial" w:cs="Arial"/>
          <w:i/>
          <w:sz w:val="20"/>
          <w:szCs w:val="20"/>
          <w:u w:val="single"/>
          <w:lang w:val="bg-BG"/>
        </w:rPr>
        <w:t>Индивидуален от</w:t>
      </w:r>
      <w:r w:rsidR="00970F4B" w:rsidRPr="00B14C47">
        <w:rPr>
          <w:rFonts w:ascii="Arial" w:hAnsi="Arial" w:cs="Arial"/>
          <w:i/>
          <w:sz w:val="20"/>
          <w:szCs w:val="20"/>
          <w:u w:val="single"/>
          <w:lang w:val="bg-BG"/>
        </w:rPr>
        <w:t xml:space="preserve">чет </w:t>
      </w:r>
      <w:r w:rsidRPr="00B14C47">
        <w:rPr>
          <w:rFonts w:ascii="Arial" w:hAnsi="Arial" w:cs="Arial"/>
          <w:i/>
          <w:sz w:val="20"/>
          <w:szCs w:val="20"/>
          <w:u w:val="single"/>
          <w:lang w:val="bg-BG"/>
        </w:rPr>
        <w:t>за финансовото състояние</w:t>
      </w:r>
      <w:bookmarkEnd w:id="129"/>
      <w:bookmarkEnd w:id="130"/>
    </w:p>
    <w:p w14:paraId="1D0E7F27" w14:textId="77777777" w:rsidR="00B66DF8" w:rsidRPr="00B14C47" w:rsidRDefault="00B66DF8" w:rsidP="00B66DF8">
      <w:pPr>
        <w:pStyle w:val="Heading3"/>
        <w:rPr>
          <w:rFonts w:ascii="Arial" w:hAnsi="Arial" w:cs="Arial"/>
          <w:u w:val="single"/>
          <w:lang w:val="bg-BG"/>
        </w:rPr>
      </w:pPr>
      <w:bookmarkStart w:id="131" w:name="_Toc164268372"/>
      <w:bookmarkStart w:id="132" w:name="_Toc247959176"/>
      <w:r w:rsidRPr="00B14C47">
        <w:rPr>
          <w:rFonts w:ascii="Arial" w:hAnsi="Arial" w:cs="Arial"/>
          <w:u w:val="single"/>
          <w:lang w:val="bg-BG"/>
        </w:rPr>
        <w:t>Нетекущи активи</w:t>
      </w:r>
      <w:bookmarkEnd w:id="131"/>
    </w:p>
    <w:p w14:paraId="5030CF16" w14:textId="77777777" w:rsidR="00B66DF8" w:rsidRPr="00B14C47" w:rsidRDefault="00B66DF8" w:rsidP="00B66DF8">
      <w:pPr>
        <w:pStyle w:val="Heading4"/>
        <w:rPr>
          <w:rFonts w:ascii="Arial" w:hAnsi="Arial" w:cs="Arial"/>
          <w:lang w:val="bg-BG"/>
        </w:rPr>
      </w:pPr>
      <w:bookmarkStart w:id="133" w:name="_Toc164268373"/>
      <w:bookmarkEnd w:id="132"/>
      <w:r w:rsidRPr="00B14C47">
        <w:rPr>
          <w:rFonts w:ascii="Arial" w:hAnsi="Arial" w:cs="Arial"/>
          <w:lang w:val="bg-BG"/>
        </w:rPr>
        <w:t>2.</w:t>
      </w:r>
      <w:r w:rsidR="004C7430" w:rsidRPr="00B14C47">
        <w:rPr>
          <w:rFonts w:ascii="Arial" w:hAnsi="Arial" w:cs="Arial"/>
          <w:lang w:val="bg-BG"/>
        </w:rPr>
        <w:t>1</w:t>
      </w:r>
      <w:r w:rsidRPr="00B14C47">
        <w:rPr>
          <w:rFonts w:ascii="Arial" w:hAnsi="Arial" w:cs="Arial"/>
          <w:lang w:val="bg-BG"/>
        </w:rPr>
        <w:t>. Инвестиции в дъщерни предприятия</w:t>
      </w:r>
      <w:bookmarkEnd w:id="133"/>
    </w:p>
    <w:p w14:paraId="7B85699D" w14:textId="77777777" w:rsidR="00B66DF8" w:rsidRPr="00B14C47" w:rsidRDefault="00B66DF8" w:rsidP="00B66DF8">
      <w:pPr>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3078"/>
        <w:gridCol w:w="1308"/>
        <w:gridCol w:w="882"/>
        <w:gridCol w:w="35"/>
        <w:gridCol w:w="432"/>
        <w:gridCol w:w="467"/>
        <w:gridCol w:w="246"/>
        <w:gridCol w:w="444"/>
        <w:gridCol w:w="917"/>
        <w:gridCol w:w="113"/>
        <w:gridCol w:w="1685"/>
      </w:tblGrid>
      <w:tr w:rsidR="004C7430" w:rsidRPr="00B14C47" w14:paraId="4558CE07" w14:textId="77777777" w:rsidTr="0076262B">
        <w:trPr>
          <w:trHeight w:val="264"/>
        </w:trPr>
        <w:tc>
          <w:tcPr>
            <w:tcW w:w="3356" w:type="pct"/>
            <w:gridSpan w:val="7"/>
            <w:tcBorders>
              <w:top w:val="single" w:sz="4" w:space="0" w:color="auto"/>
              <w:left w:val="single" w:sz="4" w:space="0" w:color="auto"/>
              <w:bottom w:val="nil"/>
              <w:right w:val="nil"/>
            </w:tcBorders>
            <w:shd w:val="clear" w:color="000000" w:fill="FFFFFF"/>
            <w:noWrap/>
            <w:vAlign w:val="center"/>
            <w:hideMark/>
          </w:tcPr>
          <w:p w14:paraId="48319815"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Инвестиции в дъщерни предприятия</w:t>
            </w:r>
          </w:p>
        </w:tc>
        <w:tc>
          <w:tcPr>
            <w:tcW w:w="767" w:type="pct"/>
            <w:gridSpan w:val="3"/>
            <w:tcBorders>
              <w:top w:val="single" w:sz="4" w:space="0" w:color="auto"/>
              <w:left w:val="single" w:sz="4" w:space="0" w:color="auto"/>
              <w:bottom w:val="nil"/>
              <w:right w:val="nil"/>
            </w:tcBorders>
            <w:shd w:val="clear" w:color="000000" w:fill="FFFFFF"/>
            <w:noWrap/>
            <w:vAlign w:val="center"/>
            <w:hideMark/>
          </w:tcPr>
          <w:p w14:paraId="31A434C6" w14:textId="1C395F76" w:rsidR="004C7430" w:rsidRPr="00B14C47" w:rsidRDefault="004C7430" w:rsidP="00776980">
            <w:pPr>
              <w:jc w:val="center"/>
              <w:rPr>
                <w:rFonts w:ascii="Arial" w:hAnsi="Arial" w:cs="Arial"/>
                <w:b/>
                <w:bCs/>
                <w:sz w:val="20"/>
                <w:lang w:eastAsia="bg-BG"/>
              </w:rPr>
            </w:pPr>
            <w:r w:rsidRPr="00B14C47">
              <w:rPr>
                <w:rFonts w:ascii="Arial" w:hAnsi="Arial" w:cs="Arial"/>
                <w:b/>
                <w:bCs/>
                <w:sz w:val="20"/>
                <w:lang w:eastAsia="bg-BG"/>
              </w:rPr>
              <w:t>3</w:t>
            </w:r>
            <w:r w:rsidR="00C64C55">
              <w:rPr>
                <w:rFonts w:ascii="Arial" w:hAnsi="Arial" w:cs="Arial"/>
                <w:b/>
                <w:bCs/>
                <w:sz w:val="20"/>
                <w:lang w:eastAsia="bg-BG"/>
              </w:rPr>
              <w:t>0</w:t>
            </w:r>
            <w:r w:rsidRPr="00B14C47">
              <w:rPr>
                <w:rFonts w:ascii="Arial" w:hAnsi="Arial" w:cs="Arial"/>
                <w:b/>
                <w:bCs/>
                <w:sz w:val="20"/>
                <w:lang w:eastAsia="bg-BG"/>
              </w:rPr>
              <w:t>.</w:t>
            </w:r>
            <w:r w:rsidR="00C64C55">
              <w:rPr>
                <w:rFonts w:ascii="Arial" w:hAnsi="Arial" w:cs="Arial"/>
                <w:b/>
                <w:bCs/>
                <w:sz w:val="20"/>
                <w:lang w:eastAsia="bg-BG"/>
              </w:rPr>
              <w:t>06</w:t>
            </w:r>
            <w:r w:rsidRPr="00B14C47">
              <w:rPr>
                <w:rFonts w:ascii="Arial" w:hAnsi="Arial" w:cs="Arial"/>
                <w:b/>
                <w:bCs/>
                <w:sz w:val="20"/>
                <w:lang w:eastAsia="bg-BG"/>
              </w:rPr>
              <w:t>.20</w:t>
            </w:r>
            <w:r w:rsidR="007A1A59" w:rsidRPr="00B14C47">
              <w:rPr>
                <w:rFonts w:ascii="Arial" w:hAnsi="Arial" w:cs="Arial"/>
                <w:b/>
                <w:bCs/>
                <w:sz w:val="20"/>
                <w:lang w:eastAsia="bg-BG"/>
              </w:rPr>
              <w:t>2</w:t>
            </w:r>
            <w:r w:rsidR="00A80B93">
              <w:rPr>
                <w:rFonts w:ascii="Arial" w:hAnsi="Arial" w:cs="Arial"/>
                <w:b/>
                <w:bCs/>
                <w:sz w:val="20"/>
                <w:lang w:eastAsia="bg-BG"/>
              </w:rPr>
              <w:t>4</w:t>
            </w:r>
            <w:r w:rsidRPr="00B14C47">
              <w:rPr>
                <w:rFonts w:ascii="Arial" w:hAnsi="Arial" w:cs="Arial"/>
                <w:b/>
                <w:bCs/>
                <w:sz w:val="20"/>
                <w:lang w:eastAsia="bg-BG"/>
              </w:rPr>
              <w:t xml:space="preserve"> г.</w:t>
            </w:r>
          </w:p>
        </w:tc>
        <w:tc>
          <w:tcPr>
            <w:tcW w:w="877" w:type="pct"/>
            <w:tcBorders>
              <w:top w:val="single" w:sz="4" w:space="0" w:color="auto"/>
              <w:left w:val="single" w:sz="4" w:space="0" w:color="auto"/>
              <w:bottom w:val="nil"/>
              <w:right w:val="single" w:sz="4" w:space="0" w:color="auto"/>
            </w:tcBorders>
            <w:shd w:val="clear" w:color="000000" w:fill="FFFFFF"/>
            <w:noWrap/>
            <w:vAlign w:val="center"/>
            <w:hideMark/>
          </w:tcPr>
          <w:p w14:paraId="03894CED" w14:textId="7F177640" w:rsidR="004C7430" w:rsidRPr="00B14C47" w:rsidRDefault="004C7430" w:rsidP="00776980">
            <w:pPr>
              <w:jc w:val="center"/>
              <w:rPr>
                <w:rFonts w:ascii="Arial" w:hAnsi="Arial" w:cs="Arial"/>
                <w:b/>
                <w:bCs/>
                <w:sz w:val="20"/>
                <w:lang w:eastAsia="bg-BG"/>
              </w:rPr>
            </w:pPr>
            <w:r w:rsidRPr="00B14C47">
              <w:rPr>
                <w:rFonts w:ascii="Arial" w:hAnsi="Arial" w:cs="Arial"/>
                <w:b/>
                <w:bCs/>
                <w:sz w:val="20"/>
                <w:lang w:eastAsia="bg-BG"/>
              </w:rPr>
              <w:t>31.12.20</w:t>
            </w:r>
            <w:r w:rsidR="007A1A59" w:rsidRPr="00B14C47">
              <w:rPr>
                <w:rFonts w:ascii="Arial" w:hAnsi="Arial" w:cs="Arial"/>
                <w:b/>
                <w:bCs/>
                <w:sz w:val="20"/>
                <w:lang w:eastAsia="bg-BG"/>
              </w:rPr>
              <w:t>2</w:t>
            </w:r>
            <w:r w:rsidR="00A80B93">
              <w:rPr>
                <w:rFonts w:ascii="Arial" w:hAnsi="Arial" w:cs="Arial"/>
                <w:b/>
                <w:bCs/>
                <w:sz w:val="20"/>
                <w:lang w:eastAsia="bg-BG"/>
              </w:rPr>
              <w:t>3</w:t>
            </w:r>
            <w:r w:rsidRPr="00B14C47">
              <w:rPr>
                <w:rFonts w:ascii="Arial" w:hAnsi="Arial" w:cs="Arial"/>
                <w:b/>
                <w:bCs/>
                <w:sz w:val="20"/>
                <w:lang w:eastAsia="bg-BG"/>
              </w:rPr>
              <w:t xml:space="preserve"> г.</w:t>
            </w:r>
          </w:p>
        </w:tc>
      </w:tr>
      <w:tr w:rsidR="004C7430" w:rsidRPr="00B14C47" w14:paraId="1C12E660" w14:textId="77777777" w:rsidTr="0076262B">
        <w:trPr>
          <w:trHeight w:val="264"/>
        </w:trPr>
        <w:tc>
          <w:tcPr>
            <w:tcW w:w="2985" w:type="pct"/>
            <w:gridSpan w:val="5"/>
            <w:tcBorders>
              <w:top w:val="single" w:sz="4" w:space="0" w:color="auto"/>
              <w:left w:val="single" w:sz="4" w:space="0" w:color="auto"/>
              <w:bottom w:val="single" w:sz="4" w:space="0" w:color="auto"/>
              <w:right w:val="nil"/>
            </w:tcBorders>
            <w:shd w:val="clear" w:color="000000" w:fill="FFFFFF"/>
            <w:noWrap/>
            <w:vAlign w:val="bottom"/>
            <w:hideMark/>
          </w:tcPr>
          <w:p w14:paraId="7AE4C9A4"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Инвестиции в дъщерни предприятия в България</w:t>
            </w:r>
          </w:p>
        </w:tc>
        <w:tc>
          <w:tcPr>
            <w:tcW w:w="243" w:type="pct"/>
            <w:tcBorders>
              <w:top w:val="single" w:sz="4" w:space="0" w:color="auto"/>
              <w:left w:val="nil"/>
              <w:bottom w:val="single" w:sz="4" w:space="0" w:color="auto"/>
              <w:right w:val="nil"/>
            </w:tcBorders>
            <w:shd w:val="clear" w:color="000000" w:fill="FFFFFF"/>
            <w:noWrap/>
            <w:vAlign w:val="bottom"/>
            <w:hideMark/>
          </w:tcPr>
          <w:p w14:paraId="36189662"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w:t>
            </w:r>
          </w:p>
        </w:tc>
        <w:tc>
          <w:tcPr>
            <w:tcW w:w="128" w:type="pct"/>
            <w:tcBorders>
              <w:top w:val="single" w:sz="4" w:space="0" w:color="auto"/>
              <w:left w:val="nil"/>
              <w:bottom w:val="single" w:sz="4" w:space="0" w:color="auto"/>
              <w:right w:val="nil"/>
            </w:tcBorders>
            <w:shd w:val="clear" w:color="000000" w:fill="FFFFFF"/>
            <w:noWrap/>
            <w:vAlign w:val="bottom"/>
            <w:hideMark/>
          </w:tcPr>
          <w:p w14:paraId="684E068A"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w:t>
            </w:r>
          </w:p>
        </w:tc>
        <w:tc>
          <w:tcPr>
            <w:tcW w:w="767" w:type="pct"/>
            <w:gridSpan w:val="3"/>
            <w:tcBorders>
              <w:top w:val="single" w:sz="4" w:space="0" w:color="auto"/>
              <w:left w:val="single" w:sz="4" w:space="0" w:color="auto"/>
              <w:bottom w:val="single" w:sz="4" w:space="0" w:color="auto"/>
              <w:right w:val="nil"/>
            </w:tcBorders>
            <w:shd w:val="clear" w:color="000000" w:fill="FFFFFF"/>
            <w:noWrap/>
            <w:vAlign w:val="bottom"/>
            <w:hideMark/>
          </w:tcPr>
          <w:p w14:paraId="145DCD47"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xml:space="preserve">                      2 </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8DAE8"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xml:space="preserve">                     2 </w:t>
            </w:r>
          </w:p>
        </w:tc>
      </w:tr>
      <w:tr w:rsidR="004C7430" w:rsidRPr="00B14C47" w14:paraId="11646F43" w14:textId="77777777" w:rsidTr="0076262B">
        <w:trPr>
          <w:trHeight w:val="264"/>
        </w:trPr>
        <w:tc>
          <w:tcPr>
            <w:tcW w:w="2742" w:type="pct"/>
            <w:gridSpan w:val="3"/>
            <w:tcBorders>
              <w:top w:val="nil"/>
              <w:left w:val="single" w:sz="4" w:space="0" w:color="auto"/>
              <w:bottom w:val="single" w:sz="4" w:space="0" w:color="auto"/>
              <w:right w:val="nil"/>
            </w:tcBorders>
            <w:shd w:val="clear" w:color="000000" w:fill="00AEEF"/>
            <w:noWrap/>
            <w:vAlign w:val="bottom"/>
            <w:hideMark/>
          </w:tcPr>
          <w:p w14:paraId="1C1CC087"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Общо</w:t>
            </w:r>
          </w:p>
        </w:tc>
        <w:tc>
          <w:tcPr>
            <w:tcW w:w="243" w:type="pct"/>
            <w:gridSpan w:val="2"/>
            <w:tcBorders>
              <w:top w:val="nil"/>
              <w:left w:val="nil"/>
              <w:bottom w:val="single" w:sz="4" w:space="0" w:color="auto"/>
              <w:right w:val="nil"/>
            </w:tcBorders>
            <w:shd w:val="clear" w:color="000000" w:fill="00AEEF"/>
            <w:noWrap/>
            <w:vAlign w:val="bottom"/>
            <w:hideMark/>
          </w:tcPr>
          <w:p w14:paraId="1612B1BE"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w:t>
            </w:r>
          </w:p>
        </w:tc>
        <w:tc>
          <w:tcPr>
            <w:tcW w:w="243" w:type="pct"/>
            <w:tcBorders>
              <w:top w:val="nil"/>
              <w:left w:val="nil"/>
              <w:bottom w:val="single" w:sz="4" w:space="0" w:color="auto"/>
              <w:right w:val="nil"/>
            </w:tcBorders>
            <w:shd w:val="clear" w:color="000000" w:fill="00AEEF"/>
            <w:noWrap/>
            <w:vAlign w:val="bottom"/>
            <w:hideMark/>
          </w:tcPr>
          <w:p w14:paraId="6639906D"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w:t>
            </w:r>
          </w:p>
        </w:tc>
        <w:tc>
          <w:tcPr>
            <w:tcW w:w="128" w:type="pct"/>
            <w:tcBorders>
              <w:top w:val="nil"/>
              <w:left w:val="nil"/>
              <w:bottom w:val="single" w:sz="4" w:space="0" w:color="auto"/>
              <w:right w:val="nil"/>
            </w:tcBorders>
            <w:shd w:val="clear" w:color="000000" w:fill="00AEEF"/>
            <w:noWrap/>
            <w:vAlign w:val="bottom"/>
            <w:hideMark/>
          </w:tcPr>
          <w:p w14:paraId="49668D99"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w:t>
            </w:r>
          </w:p>
        </w:tc>
        <w:tc>
          <w:tcPr>
            <w:tcW w:w="767" w:type="pct"/>
            <w:gridSpan w:val="3"/>
            <w:tcBorders>
              <w:top w:val="nil"/>
              <w:left w:val="single" w:sz="4" w:space="0" w:color="auto"/>
              <w:bottom w:val="single" w:sz="4" w:space="0" w:color="auto"/>
              <w:right w:val="nil"/>
            </w:tcBorders>
            <w:shd w:val="clear" w:color="000000" w:fill="00AEEF"/>
            <w:noWrap/>
            <w:vAlign w:val="bottom"/>
            <w:hideMark/>
          </w:tcPr>
          <w:p w14:paraId="7E5304EA"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xml:space="preserve">                      2 </w:t>
            </w:r>
          </w:p>
        </w:tc>
        <w:tc>
          <w:tcPr>
            <w:tcW w:w="877" w:type="pct"/>
            <w:tcBorders>
              <w:top w:val="nil"/>
              <w:left w:val="single" w:sz="4" w:space="0" w:color="auto"/>
              <w:bottom w:val="single" w:sz="4" w:space="0" w:color="auto"/>
              <w:right w:val="single" w:sz="4" w:space="0" w:color="auto"/>
            </w:tcBorders>
            <w:shd w:val="clear" w:color="000000" w:fill="00AEEF"/>
            <w:noWrap/>
            <w:vAlign w:val="bottom"/>
            <w:hideMark/>
          </w:tcPr>
          <w:p w14:paraId="51F07925"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xml:space="preserve">                     2 </w:t>
            </w:r>
          </w:p>
        </w:tc>
      </w:tr>
      <w:tr w:rsidR="004C7430" w:rsidRPr="00B14C47" w14:paraId="750268CA" w14:textId="77777777" w:rsidTr="002F3A52">
        <w:trPr>
          <w:trHeight w:val="25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0D299E" w14:textId="77777777" w:rsidR="004C7430" w:rsidRPr="00B14C47" w:rsidRDefault="004C7430" w:rsidP="002F3A52">
            <w:pPr>
              <w:rPr>
                <w:rFonts w:ascii="Arial" w:hAnsi="Arial" w:cs="Arial"/>
                <w:b/>
                <w:bCs/>
                <w:sz w:val="20"/>
              </w:rPr>
            </w:pPr>
            <w:r w:rsidRPr="00B14C47">
              <w:rPr>
                <w:rFonts w:ascii="Arial" w:hAnsi="Arial" w:cs="Arial"/>
                <w:b/>
                <w:bCs/>
                <w:sz w:val="20"/>
              </w:rPr>
              <w:t>Инвестиции в дъщерни предприятия</w:t>
            </w:r>
          </w:p>
        </w:tc>
      </w:tr>
      <w:tr w:rsidR="004C7430" w:rsidRPr="00B14C47" w14:paraId="727359D2" w14:textId="77777777" w:rsidTr="002F3A52">
        <w:trPr>
          <w:trHeight w:val="255"/>
        </w:trPr>
        <w:tc>
          <w:tcPr>
            <w:tcW w:w="16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7AF7C7" w14:textId="77777777" w:rsidR="004C7430" w:rsidRPr="00B14C47" w:rsidRDefault="004C7430" w:rsidP="002F3A52">
            <w:pPr>
              <w:rPr>
                <w:rFonts w:ascii="Arial" w:hAnsi="Arial" w:cs="Arial"/>
                <w:b/>
                <w:bCs/>
                <w:sz w:val="20"/>
              </w:rPr>
            </w:pPr>
            <w:r w:rsidRPr="00B14C47">
              <w:rPr>
                <w:rFonts w:ascii="Arial" w:hAnsi="Arial" w:cs="Arial"/>
                <w:b/>
                <w:bCs/>
                <w:sz w:val="20"/>
              </w:rPr>
              <w:t>Наименование</w:t>
            </w:r>
          </w:p>
        </w:tc>
        <w:tc>
          <w:tcPr>
            <w:tcW w:w="6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808ACD" w14:textId="77777777" w:rsidR="004C7430" w:rsidRPr="00B14C47" w:rsidRDefault="004C7430" w:rsidP="002F3A52">
            <w:pPr>
              <w:rPr>
                <w:rFonts w:ascii="Arial" w:hAnsi="Arial" w:cs="Arial"/>
                <w:b/>
                <w:bCs/>
                <w:sz w:val="20"/>
              </w:rPr>
            </w:pPr>
            <w:r w:rsidRPr="00B14C47">
              <w:rPr>
                <w:rFonts w:ascii="Arial" w:hAnsi="Arial" w:cs="Arial"/>
                <w:b/>
                <w:bCs/>
                <w:sz w:val="20"/>
              </w:rPr>
              <w:t>Седалище</w:t>
            </w:r>
          </w:p>
        </w:tc>
        <w:tc>
          <w:tcPr>
            <w:tcW w:w="1304" w:type="pct"/>
            <w:gridSpan w:val="6"/>
            <w:tcBorders>
              <w:top w:val="single" w:sz="4" w:space="0" w:color="auto"/>
              <w:left w:val="nil"/>
              <w:bottom w:val="single" w:sz="4" w:space="0" w:color="auto"/>
              <w:right w:val="single" w:sz="4" w:space="0" w:color="000000"/>
            </w:tcBorders>
            <w:shd w:val="clear" w:color="auto" w:fill="auto"/>
            <w:noWrap/>
            <w:vAlign w:val="bottom"/>
            <w:hideMark/>
          </w:tcPr>
          <w:p w14:paraId="7E599789" w14:textId="7D58D0A0" w:rsidR="004C7430" w:rsidRPr="00B14C47" w:rsidRDefault="004C7430" w:rsidP="00776980">
            <w:pPr>
              <w:jc w:val="center"/>
              <w:rPr>
                <w:rFonts w:ascii="Arial" w:hAnsi="Arial" w:cs="Arial"/>
                <w:b/>
                <w:bCs/>
                <w:sz w:val="20"/>
              </w:rPr>
            </w:pPr>
            <w:r w:rsidRPr="00B14C47">
              <w:rPr>
                <w:rFonts w:ascii="Arial" w:hAnsi="Arial" w:cs="Arial"/>
                <w:b/>
                <w:bCs/>
                <w:sz w:val="20"/>
              </w:rPr>
              <w:t>3</w:t>
            </w:r>
            <w:r w:rsidR="00C64C55">
              <w:rPr>
                <w:rFonts w:ascii="Arial" w:hAnsi="Arial" w:cs="Arial"/>
                <w:b/>
                <w:bCs/>
                <w:sz w:val="20"/>
              </w:rPr>
              <w:t>0</w:t>
            </w:r>
            <w:r w:rsidRPr="00B14C47">
              <w:rPr>
                <w:rFonts w:ascii="Arial" w:hAnsi="Arial" w:cs="Arial"/>
                <w:b/>
                <w:bCs/>
                <w:sz w:val="20"/>
              </w:rPr>
              <w:t>.</w:t>
            </w:r>
            <w:r w:rsidR="00C64C55">
              <w:rPr>
                <w:rFonts w:ascii="Arial" w:hAnsi="Arial" w:cs="Arial"/>
                <w:b/>
                <w:bCs/>
                <w:sz w:val="20"/>
              </w:rPr>
              <w:t>06</w:t>
            </w:r>
            <w:r w:rsidRPr="00B14C47">
              <w:rPr>
                <w:rFonts w:ascii="Arial" w:hAnsi="Arial" w:cs="Arial"/>
                <w:b/>
                <w:bCs/>
                <w:sz w:val="20"/>
              </w:rPr>
              <w:t>.20</w:t>
            </w:r>
            <w:r w:rsidR="007A1A59" w:rsidRPr="00B14C47">
              <w:rPr>
                <w:rFonts w:ascii="Arial" w:hAnsi="Arial" w:cs="Arial"/>
                <w:b/>
                <w:bCs/>
                <w:sz w:val="20"/>
              </w:rPr>
              <w:t>2</w:t>
            </w:r>
            <w:r w:rsidR="00A80B93">
              <w:rPr>
                <w:rFonts w:ascii="Arial" w:hAnsi="Arial" w:cs="Arial"/>
                <w:b/>
                <w:bCs/>
                <w:sz w:val="20"/>
              </w:rPr>
              <w:t>4</w:t>
            </w:r>
            <w:r w:rsidRPr="00B14C47">
              <w:rPr>
                <w:rFonts w:ascii="Arial" w:hAnsi="Arial" w:cs="Arial"/>
                <w:b/>
                <w:bCs/>
                <w:sz w:val="20"/>
              </w:rPr>
              <w:t xml:space="preserve"> г.</w:t>
            </w:r>
          </w:p>
        </w:tc>
        <w:tc>
          <w:tcPr>
            <w:tcW w:w="1413"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E176465" w14:textId="7FC601BE" w:rsidR="004C7430" w:rsidRPr="00B14C47" w:rsidRDefault="004C7430" w:rsidP="00187AF2">
            <w:pPr>
              <w:jc w:val="center"/>
              <w:rPr>
                <w:rFonts w:ascii="Arial" w:hAnsi="Arial" w:cs="Arial"/>
                <w:b/>
                <w:bCs/>
                <w:sz w:val="20"/>
              </w:rPr>
            </w:pPr>
            <w:r w:rsidRPr="00B14C47">
              <w:rPr>
                <w:rFonts w:ascii="Arial" w:hAnsi="Arial" w:cs="Arial"/>
                <w:b/>
                <w:bCs/>
                <w:sz w:val="20"/>
              </w:rPr>
              <w:t>31.12.20</w:t>
            </w:r>
            <w:r w:rsidR="007A1A59" w:rsidRPr="00B14C47">
              <w:rPr>
                <w:rFonts w:ascii="Arial" w:hAnsi="Arial" w:cs="Arial"/>
                <w:b/>
                <w:bCs/>
                <w:sz w:val="20"/>
              </w:rPr>
              <w:t>2</w:t>
            </w:r>
            <w:r w:rsidR="00A80B93">
              <w:rPr>
                <w:rFonts w:ascii="Arial" w:hAnsi="Arial" w:cs="Arial"/>
                <w:b/>
                <w:bCs/>
                <w:sz w:val="20"/>
              </w:rPr>
              <w:t>3</w:t>
            </w:r>
            <w:r w:rsidRPr="00B14C47">
              <w:rPr>
                <w:rFonts w:ascii="Arial" w:hAnsi="Arial" w:cs="Arial"/>
                <w:b/>
                <w:bCs/>
                <w:sz w:val="20"/>
              </w:rPr>
              <w:t xml:space="preserve"> г.</w:t>
            </w:r>
          </w:p>
        </w:tc>
      </w:tr>
      <w:tr w:rsidR="004C7430" w:rsidRPr="00B14C47" w14:paraId="55AF218B" w14:textId="77777777" w:rsidTr="002F3A52">
        <w:trPr>
          <w:trHeight w:val="255"/>
        </w:trPr>
        <w:tc>
          <w:tcPr>
            <w:tcW w:w="1602" w:type="pct"/>
            <w:vMerge/>
            <w:tcBorders>
              <w:top w:val="nil"/>
              <w:left w:val="single" w:sz="4" w:space="0" w:color="auto"/>
              <w:bottom w:val="single" w:sz="4" w:space="0" w:color="auto"/>
              <w:right w:val="single" w:sz="4" w:space="0" w:color="auto"/>
            </w:tcBorders>
            <w:vAlign w:val="center"/>
            <w:hideMark/>
          </w:tcPr>
          <w:p w14:paraId="4E49B30B" w14:textId="77777777" w:rsidR="004C7430" w:rsidRPr="00B14C47" w:rsidRDefault="004C7430" w:rsidP="002F3A52">
            <w:pPr>
              <w:rPr>
                <w:rFonts w:ascii="Arial" w:hAnsi="Arial" w:cs="Arial"/>
                <w:b/>
                <w:bCs/>
                <w:sz w:val="20"/>
              </w:rPr>
            </w:pPr>
          </w:p>
        </w:tc>
        <w:tc>
          <w:tcPr>
            <w:tcW w:w="681" w:type="pct"/>
            <w:vMerge/>
            <w:tcBorders>
              <w:top w:val="nil"/>
              <w:left w:val="single" w:sz="4" w:space="0" w:color="auto"/>
              <w:bottom w:val="single" w:sz="4" w:space="0" w:color="auto"/>
              <w:right w:val="single" w:sz="4" w:space="0" w:color="auto"/>
            </w:tcBorders>
            <w:vAlign w:val="center"/>
            <w:hideMark/>
          </w:tcPr>
          <w:p w14:paraId="7C667A3E" w14:textId="77777777" w:rsidR="004C7430" w:rsidRPr="00B14C47" w:rsidRDefault="004C7430" w:rsidP="002F3A52">
            <w:pPr>
              <w:rPr>
                <w:rFonts w:ascii="Arial" w:hAnsi="Arial" w:cs="Arial"/>
                <w:b/>
                <w:bCs/>
                <w:sz w:val="20"/>
              </w:rPr>
            </w:pPr>
          </w:p>
        </w:tc>
        <w:tc>
          <w:tcPr>
            <w:tcW w:w="477" w:type="pct"/>
            <w:gridSpan w:val="2"/>
            <w:tcBorders>
              <w:top w:val="nil"/>
              <w:left w:val="nil"/>
              <w:bottom w:val="single" w:sz="4" w:space="0" w:color="auto"/>
              <w:right w:val="nil"/>
            </w:tcBorders>
            <w:shd w:val="clear" w:color="auto" w:fill="auto"/>
            <w:noWrap/>
            <w:vAlign w:val="bottom"/>
            <w:hideMark/>
          </w:tcPr>
          <w:p w14:paraId="026CA725" w14:textId="77777777" w:rsidR="004C7430" w:rsidRPr="00B14C47" w:rsidRDefault="004C7430" w:rsidP="002F3A52">
            <w:pPr>
              <w:jc w:val="center"/>
              <w:rPr>
                <w:rFonts w:ascii="Arial" w:hAnsi="Arial" w:cs="Arial"/>
                <w:b/>
                <w:bCs/>
                <w:sz w:val="20"/>
              </w:rPr>
            </w:pPr>
            <w:r w:rsidRPr="00B14C47">
              <w:rPr>
                <w:rFonts w:ascii="Arial" w:hAnsi="Arial" w:cs="Arial"/>
                <w:b/>
                <w:bCs/>
                <w:sz w:val="20"/>
              </w:rPr>
              <w:t>размер</w:t>
            </w:r>
          </w:p>
        </w:tc>
        <w:tc>
          <w:tcPr>
            <w:tcW w:w="827" w:type="pct"/>
            <w:gridSpan w:val="4"/>
            <w:tcBorders>
              <w:top w:val="nil"/>
              <w:left w:val="single" w:sz="4" w:space="0" w:color="auto"/>
              <w:bottom w:val="single" w:sz="4" w:space="0" w:color="auto"/>
              <w:right w:val="nil"/>
            </w:tcBorders>
            <w:shd w:val="clear" w:color="auto" w:fill="auto"/>
            <w:noWrap/>
            <w:vAlign w:val="bottom"/>
            <w:hideMark/>
          </w:tcPr>
          <w:p w14:paraId="1D54EB6B" w14:textId="6C696DA2" w:rsidR="004C7430" w:rsidRPr="00B14C47" w:rsidRDefault="002B2E78" w:rsidP="002F3A52">
            <w:pPr>
              <w:jc w:val="center"/>
              <w:rPr>
                <w:rFonts w:ascii="Arial" w:hAnsi="Arial" w:cs="Arial"/>
                <w:b/>
                <w:bCs/>
                <w:sz w:val="20"/>
              </w:rPr>
            </w:pPr>
            <w:r w:rsidRPr="00B14C47">
              <w:rPr>
                <w:rFonts w:ascii="Arial" w:hAnsi="Arial" w:cs="Arial"/>
                <w:b/>
                <w:bCs/>
                <w:sz w:val="20"/>
              </w:rPr>
              <w:t>С</w:t>
            </w:r>
            <w:r w:rsidR="004C7430" w:rsidRPr="00B14C47">
              <w:rPr>
                <w:rFonts w:ascii="Arial" w:hAnsi="Arial" w:cs="Arial"/>
                <w:b/>
                <w:bCs/>
                <w:sz w:val="20"/>
              </w:rPr>
              <w:t>тойност</w:t>
            </w:r>
          </w:p>
        </w:tc>
        <w:tc>
          <w:tcPr>
            <w:tcW w:w="477" w:type="pct"/>
            <w:tcBorders>
              <w:top w:val="nil"/>
              <w:left w:val="single" w:sz="4" w:space="0" w:color="auto"/>
              <w:bottom w:val="single" w:sz="4" w:space="0" w:color="auto"/>
              <w:right w:val="nil"/>
            </w:tcBorders>
            <w:shd w:val="clear" w:color="auto" w:fill="auto"/>
            <w:noWrap/>
            <w:vAlign w:val="bottom"/>
            <w:hideMark/>
          </w:tcPr>
          <w:p w14:paraId="5DD82B75" w14:textId="77777777" w:rsidR="004C7430" w:rsidRPr="00B14C47" w:rsidRDefault="004C7430" w:rsidP="002F3A52">
            <w:pPr>
              <w:jc w:val="center"/>
              <w:rPr>
                <w:rFonts w:ascii="Arial" w:hAnsi="Arial" w:cs="Arial"/>
                <w:b/>
                <w:bCs/>
                <w:sz w:val="20"/>
              </w:rPr>
            </w:pPr>
            <w:r w:rsidRPr="00B14C47">
              <w:rPr>
                <w:rFonts w:ascii="Arial" w:hAnsi="Arial" w:cs="Arial"/>
                <w:b/>
                <w:bCs/>
                <w:sz w:val="20"/>
              </w:rPr>
              <w:t>размер</w:t>
            </w:r>
          </w:p>
        </w:tc>
        <w:tc>
          <w:tcPr>
            <w:tcW w:w="9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9081234" w14:textId="77777777" w:rsidR="004C7430" w:rsidRPr="00B14C47" w:rsidRDefault="004C7430" w:rsidP="002F3A52">
            <w:pPr>
              <w:jc w:val="center"/>
              <w:rPr>
                <w:rFonts w:ascii="Arial" w:hAnsi="Arial" w:cs="Arial"/>
                <w:b/>
                <w:bCs/>
                <w:sz w:val="20"/>
              </w:rPr>
            </w:pPr>
            <w:r w:rsidRPr="00B14C47">
              <w:rPr>
                <w:rFonts w:ascii="Arial" w:hAnsi="Arial" w:cs="Arial"/>
                <w:b/>
                <w:bCs/>
                <w:sz w:val="20"/>
              </w:rPr>
              <w:t>стойност</w:t>
            </w:r>
          </w:p>
        </w:tc>
      </w:tr>
      <w:tr w:rsidR="004C7430" w:rsidRPr="00B14C47" w14:paraId="2673D548"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3AA6A45E" w14:textId="77777777" w:rsidR="004C7430" w:rsidRPr="00B14C47" w:rsidRDefault="004C7430" w:rsidP="002F3A52">
            <w:pPr>
              <w:rPr>
                <w:rFonts w:ascii="Arial" w:hAnsi="Arial" w:cs="Arial"/>
                <w:sz w:val="20"/>
              </w:rPr>
            </w:pPr>
            <w:r w:rsidRPr="00B14C47">
              <w:rPr>
                <w:rFonts w:ascii="Arial" w:hAnsi="Arial" w:cs="Arial"/>
                <w:sz w:val="20"/>
              </w:rPr>
              <w:t>Инфра билдинг ЕООД</w:t>
            </w:r>
          </w:p>
        </w:tc>
        <w:tc>
          <w:tcPr>
            <w:tcW w:w="681" w:type="pct"/>
            <w:tcBorders>
              <w:top w:val="nil"/>
              <w:left w:val="single" w:sz="4" w:space="0" w:color="auto"/>
              <w:bottom w:val="single" w:sz="4" w:space="0" w:color="auto"/>
              <w:right w:val="nil"/>
            </w:tcBorders>
            <w:shd w:val="clear" w:color="auto" w:fill="auto"/>
            <w:noWrap/>
            <w:vAlign w:val="bottom"/>
            <w:hideMark/>
          </w:tcPr>
          <w:p w14:paraId="25FC7FF1" w14:textId="77777777" w:rsidR="004C7430" w:rsidRPr="00B14C47" w:rsidRDefault="004C7430" w:rsidP="002F3A52">
            <w:pPr>
              <w:rPr>
                <w:rFonts w:ascii="Arial" w:hAnsi="Arial" w:cs="Arial"/>
                <w:sz w:val="20"/>
              </w:rPr>
            </w:pPr>
            <w:r w:rsidRPr="00B14C47">
              <w:rPr>
                <w:rFonts w:ascii="Arial" w:hAnsi="Arial" w:cs="Arial"/>
                <w:sz w:val="20"/>
              </w:rPr>
              <w:t>София</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62C51990"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3E72A16C" w14:textId="77777777" w:rsidR="004C7430" w:rsidRPr="00B14C47" w:rsidRDefault="004C7430" w:rsidP="002F3A52">
            <w:pPr>
              <w:rPr>
                <w:rFonts w:ascii="Arial" w:hAnsi="Arial" w:cs="Arial"/>
                <w:sz w:val="20"/>
              </w:rPr>
            </w:pPr>
            <w:r w:rsidRPr="00B14C47">
              <w:rPr>
                <w:rFonts w:ascii="Arial" w:hAnsi="Arial" w:cs="Arial"/>
                <w:sz w:val="20"/>
              </w:rPr>
              <w:t xml:space="preserve">                  1 </w:t>
            </w:r>
          </w:p>
        </w:tc>
        <w:tc>
          <w:tcPr>
            <w:tcW w:w="477" w:type="pct"/>
            <w:tcBorders>
              <w:top w:val="nil"/>
              <w:left w:val="single" w:sz="4" w:space="0" w:color="auto"/>
              <w:bottom w:val="single" w:sz="4" w:space="0" w:color="auto"/>
              <w:right w:val="nil"/>
            </w:tcBorders>
            <w:shd w:val="clear" w:color="auto" w:fill="auto"/>
            <w:noWrap/>
            <w:vAlign w:val="bottom"/>
            <w:hideMark/>
          </w:tcPr>
          <w:p w14:paraId="4EA78C97"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0CC96D54" w14:textId="77777777" w:rsidR="004C7430" w:rsidRPr="00B14C47" w:rsidRDefault="004C7430" w:rsidP="002F3A52">
            <w:pPr>
              <w:rPr>
                <w:rFonts w:ascii="Arial" w:hAnsi="Arial" w:cs="Arial"/>
                <w:sz w:val="20"/>
              </w:rPr>
            </w:pPr>
            <w:r w:rsidRPr="00B14C47">
              <w:rPr>
                <w:rFonts w:ascii="Arial" w:hAnsi="Arial" w:cs="Arial"/>
                <w:sz w:val="20"/>
              </w:rPr>
              <w:t xml:space="preserve">                     1 </w:t>
            </w:r>
          </w:p>
        </w:tc>
      </w:tr>
      <w:tr w:rsidR="004C7430" w:rsidRPr="00B14C47" w14:paraId="49499150"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44C9F39D" w14:textId="77777777" w:rsidR="004C7430" w:rsidRPr="00B14C47" w:rsidRDefault="004C7430" w:rsidP="002F3A52">
            <w:pPr>
              <w:rPr>
                <w:rFonts w:ascii="Arial" w:hAnsi="Arial" w:cs="Arial"/>
                <w:sz w:val="20"/>
              </w:rPr>
            </w:pPr>
            <w:r w:rsidRPr="00B14C47">
              <w:rPr>
                <w:rFonts w:ascii="Arial" w:hAnsi="Arial" w:cs="Arial"/>
                <w:sz w:val="20"/>
              </w:rPr>
              <w:t>Витех строй ЕООД</w:t>
            </w:r>
          </w:p>
        </w:tc>
        <w:tc>
          <w:tcPr>
            <w:tcW w:w="681" w:type="pct"/>
            <w:tcBorders>
              <w:top w:val="nil"/>
              <w:left w:val="single" w:sz="4" w:space="0" w:color="auto"/>
              <w:bottom w:val="single" w:sz="4" w:space="0" w:color="auto"/>
              <w:right w:val="nil"/>
            </w:tcBorders>
            <w:shd w:val="clear" w:color="auto" w:fill="auto"/>
            <w:noWrap/>
            <w:vAlign w:val="bottom"/>
            <w:hideMark/>
          </w:tcPr>
          <w:p w14:paraId="12939A51" w14:textId="77777777" w:rsidR="004C7430" w:rsidRPr="00B14C47" w:rsidRDefault="004C7430" w:rsidP="002F3A52">
            <w:pPr>
              <w:rPr>
                <w:rFonts w:ascii="Arial" w:hAnsi="Arial" w:cs="Arial"/>
                <w:sz w:val="20"/>
              </w:rPr>
            </w:pPr>
            <w:r w:rsidRPr="00B14C47">
              <w:rPr>
                <w:rFonts w:ascii="Arial" w:hAnsi="Arial" w:cs="Arial"/>
                <w:sz w:val="20"/>
              </w:rPr>
              <w:t>София</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4393C574"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170ADD8B" w14:textId="77777777" w:rsidR="004C7430" w:rsidRPr="00B14C47" w:rsidRDefault="004C7430" w:rsidP="002F3A52">
            <w:pPr>
              <w:rPr>
                <w:rFonts w:ascii="Arial" w:hAnsi="Arial" w:cs="Arial"/>
                <w:sz w:val="20"/>
              </w:rPr>
            </w:pPr>
            <w:r w:rsidRPr="00B14C47">
              <w:rPr>
                <w:rFonts w:ascii="Arial" w:hAnsi="Arial" w:cs="Arial"/>
                <w:sz w:val="20"/>
              </w:rPr>
              <w:t xml:space="preserve">                  1 </w:t>
            </w:r>
          </w:p>
        </w:tc>
        <w:tc>
          <w:tcPr>
            <w:tcW w:w="477" w:type="pct"/>
            <w:tcBorders>
              <w:top w:val="nil"/>
              <w:left w:val="single" w:sz="4" w:space="0" w:color="auto"/>
              <w:bottom w:val="single" w:sz="4" w:space="0" w:color="auto"/>
              <w:right w:val="nil"/>
            </w:tcBorders>
            <w:shd w:val="clear" w:color="auto" w:fill="auto"/>
            <w:noWrap/>
            <w:vAlign w:val="bottom"/>
            <w:hideMark/>
          </w:tcPr>
          <w:p w14:paraId="16E1CE47"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6FB336C8" w14:textId="77777777" w:rsidR="004C7430" w:rsidRPr="00B14C47" w:rsidRDefault="004C7430" w:rsidP="002F3A52">
            <w:pPr>
              <w:rPr>
                <w:rFonts w:ascii="Arial" w:hAnsi="Arial" w:cs="Arial"/>
                <w:sz w:val="20"/>
              </w:rPr>
            </w:pPr>
            <w:r w:rsidRPr="00B14C47">
              <w:rPr>
                <w:rFonts w:ascii="Arial" w:hAnsi="Arial" w:cs="Arial"/>
                <w:sz w:val="20"/>
              </w:rPr>
              <w:t xml:space="preserve">                     1 </w:t>
            </w:r>
          </w:p>
        </w:tc>
      </w:tr>
      <w:tr w:rsidR="004C7430" w:rsidRPr="00B14C47" w14:paraId="0514354D"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2658913E" w14:textId="77777777" w:rsidR="004C7430" w:rsidRPr="00B14C47" w:rsidRDefault="004C7430" w:rsidP="002F3A52">
            <w:pPr>
              <w:rPr>
                <w:rFonts w:ascii="Arial" w:hAnsi="Arial" w:cs="Arial"/>
                <w:sz w:val="20"/>
              </w:rPr>
            </w:pPr>
            <w:r w:rsidRPr="00B14C47">
              <w:rPr>
                <w:rFonts w:ascii="Arial" w:hAnsi="Arial" w:cs="Arial"/>
                <w:sz w:val="20"/>
              </w:rPr>
              <w:t>ЛВЗ-Русе</w:t>
            </w:r>
          </w:p>
        </w:tc>
        <w:tc>
          <w:tcPr>
            <w:tcW w:w="681" w:type="pct"/>
            <w:tcBorders>
              <w:top w:val="nil"/>
              <w:left w:val="single" w:sz="4" w:space="0" w:color="auto"/>
              <w:bottom w:val="single" w:sz="4" w:space="0" w:color="auto"/>
              <w:right w:val="nil"/>
            </w:tcBorders>
            <w:shd w:val="clear" w:color="auto" w:fill="auto"/>
            <w:noWrap/>
            <w:vAlign w:val="bottom"/>
            <w:hideMark/>
          </w:tcPr>
          <w:p w14:paraId="2EC8AF92" w14:textId="77777777" w:rsidR="004C7430" w:rsidRPr="00B14C47" w:rsidRDefault="004C7430" w:rsidP="002F3A52">
            <w:pPr>
              <w:rPr>
                <w:rFonts w:ascii="Arial" w:hAnsi="Arial" w:cs="Arial"/>
                <w:sz w:val="20"/>
              </w:rPr>
            </w:pPr>
            <w:r w:rsidRPr="00B14C47">
              <w:rPr>
                <w:rFonts w:ascii="Arial" w:hAnsi="Arial" w:cs="Arial"/>
                <w:sz w:val="20"/>
              </w:rPr>
              <w:t>Русе</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640448C8"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13690B35" w14:textId="77777777" w:rsidR="004C7430" w:rsidRPr="00B14C47" w:rsidRDefault="004C7430" w:rsidP="002F3A52">
            <w:pPr>
              <w:rPr>
                <w:rFonts w:ascii="Arial" w:hAnsi="Arial" w:cs="Arial"/>
                <w:sz w:val="20"/>
              </w:rPr>
            </w:pPr>
            <w:r w:rsidRPr="00B14C47">
              <w:rPr>
                <w:rFonts w:ascii="Arial" w:hAnsi="Arial" w:cs="Arial"/>
                <w:sz w:val="20"/>
              </w:rPr>
              <w:t xml:space="preserve">         31 223 </w:t>
            </w:r>
          </w:p>
        </w:tc>
        <w:tc>
          <w:tcPr>
            <w:tcW w:w="477" w:type="pct"/>
            <w:tcBorders>
              <w:top w:val="nil"/>
              <w:left w:val="single" w:sz="4" w:space="0" w:color="auto"/>
              <w:bottom w:val="single" w:sz="4" w:space="0" w:color="auto"/>
              <w:right w:val="nil"/>
            </w:tcBorders>
            <w:shd w:val="clear" w:color="auto" w:fill="auto"/>
            <w:noWrap/>
            <w:vAlign w:val="bottom"/>
            <w:hideMark/>
          </w:tcPr>
          <w:p w14:paraId="3FDFAEF8"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03483B36" w14:textId="77777777" w:rsidR="004C7430" w:rsidRPr="00B14C47" w:rsidRDefault="004C7430" w:rsidP="002F3A52">
            <w:pPr>
              <w:rPr>
                <w:rFonts w:ascii="Arial" w:hAnsi="Arial" w:cs="Arial"/>
                <w:sz w:val="20"/>
              </w:rPr>
            </w:pPr>
            <w:r w:rsidRPr="00B14C47">
              <w:rPr>
                <w:rFonts w:ascii="Arial" w:hAnsi="Arial" w:cs="Arial"/>
                <w:sz w:val="20"/>
              </w:rPr>
              <w:t xml:space="preserve">             31 223 </w:t>
            </w:r>
          </w:p>
        </w:tc>
      </w:tr>
      <w:tr w:rsidR="004C7430" w:rsidRPr="00B14C47" w14:paraId="2888B5BE"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734D84AB" w14:textId="77777777" w:rsidR="004C7430" w:rsidRPr="00B14C47" w:rsidRDefault="004C7430" w:rsidP="002F3A52">
            <w:pPr>
              <w:rPr>
                <w:rFonts w:ascii="Arial" w:hAnsi="Arial" w:cs="Arial"/>
                <w:sz w:val="20"/>
              </w:rPr>
            </w:pPr>
            <w:r w:rsidRPr="00B14C47">
              <w:rPr>
                <w:rFonts w:ascii="Arial" w:hAnsi="Arial" w:cs="Arial"/>
                <w:sz w:val="20"/>
              </w:rPr>
              <w:t>ЛВЗ-Русе-обезценка</w:t>
            </w:r>
          </w:p>
        </w:tc>
        <w:tc>
          <w:tcPr>
            <w:tcW w:w="681" w:type="pct"/>
            <w:tcBorders>
              <w:top w:val="nil"/>
              <w:left w:val="single" w:sz="4" w:space="0" w:color="auto"/>
              <w:bottom w:val="single" w:sz="4" w:space="0" w:color="auto"/>
              <w:right w:val="nil"/>
            </w:tcBorders>
            <w:shd w:val="clear" w:color="auto" w:fill="auto"/>
            <w:noWrap/>
            <w:vAlign w:val="bottom"/>
            <w:hideMark/>
          </w:tcPr>
          <w:p w14:paraId="7FE77FB5" w14:textId="77777777" w:rsidR="004C7430" w:rsidRPr="00B14C47" w:rsidRDefault="004C7430" w:rsidP="002F3A52">
            <w:pPr>
              <w:rPr>
                <w:rFonts w:ascii="Arial" w:hAnsi="Arial" w:cs="Arial"/>
                <w:sz w:val="20"/>
              </w:rPr>
            </w:pPr>
            <w:r w:rsidRPr="00B14C47">
              <w:rPr>
                <w:rFonts w:ascii="Arial" w:hAnsi="Arial" w:cs="Arial"/>
                <w:sz w:val="20"/>
              </w:rPr>
              <w:t>Русе</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6F1B2D86"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00AE67BE" w14:textId="77777777" w:rsidR="004C7430" w:rsidRPr="00B14C47" w:rsidRDefault="004C7430" w:rsidP="002F3A52">
            <w:pPr>
              <w:rPr>
                <w:rFonts w:ascii="Arial" w:hAnsi="Arial" w:cs="Arial"/>
                <w:sz w:val="20"/>
              </w:rPr>
            </w:pPr>
            <w:r w:rsidRPr="00B14C47">
              <w:rPr>
                <w:rFonts w:ascii="Arial" w:hAnsi="Arial" w:cs="Arial"/>
                <w:sz w:val="20"/>
              </w:rPr>
              <w:t xml:space="preserve">       (31 223)</w:t>
            </w:r>
          </w:p>
        </w:tc>
        <w:tc>
          <w:tcPr>
            <w:tcW w:w="477" w:type="pct"/>
            <w:tcBorders>
              <w:top w:val="nil"/>
              <w:left w:val="single" w:sz="4" w:space="0" w:color="auto"/>
              <w:bottom w:val="single" w:sz="4" w:space="0" w:color="auto"/>
              <w:right w:val="nil"/>
            </w:tcBorders>
            <w:shd w:val="clear" w:color="auto" w:fill="auto"/>
            <w:noWrap/>
            <w:vAlign w:val="bottom"/>
            <w:hideMark/>
          </w:tcPr>
          <w:p w14:paraId="3DCE9374"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38FBA228" w14:textId="77777777" w:rsidR="004C7430" w:rsidRPr="00B14C47" w:rsidRDefault="004C7430" w:rsidP="002F3A52">
            <w:pPr>
              <w:rPr>
                <w:rFonts w:ascii="Arial" w:hAnsi="Arial" w:cs="Arial"/>
                <w:sz w:val="20"/>
              </w:rPr>
            </w:pPr>
            <w:r w:rsidRPr="00B14C47">
              <w:rPr>
                <w:rFonts w:ascii="Arial" w:hAnsi="Arial" w:cs="Arial"/>
                <w:sz w:val="20"/>
              </w:rPr>
              <w:t xml:space="preserve">           (31 223)</w:t>
            </w:r>
          </w:p>
        </w:tc>
      </w:tr>
      <w:tr w:rsidR="002F3A52" w:rsidRPr="00B14C47" w14:paraId="747385BC" w14:textId="77777777" w:rsidTr="004C7430">
        <w:trPr>
          <w:trHeight w:val="255"/>
        </w:trPr>
        <w:tc>
          <w:tcPr>
            <w:tcW w:w="1602" w:type="pct"/>
            <w:tcBorders>
              <w:top w:val="nil"/>
              <w:left w:val="single" w:sz="4" w:space="0" w:color="auto"/>
              <w:bottom w:val="single" w:sz="4" w:space="0" w:color="auto"/>
              <w:right w:val="single" w:sz="4" w:space="0" w:color="auto"/>
            </w:tcBorders>
            <w:shd w:val="clear" w:color="auto" w:fill="00B0F0"/>
            <w:noWrap/>
            <w:vAlign w:val="bottom"/>
            <w:hideMark/>
          </w:tcPr>
          <w:p w14:paraId="1FB1125E" w14:textId="77777777" w:rsidR="004C7430" w:rsidRPr="00B14C47" w:rsidRDefault="004C7430" w:rsidP="002F3A52">
            <w:pPr>
              <w:rPr>
                <w:rFonts w:ascii="Arial" w:hAnsi="Arial" w:cs="Arial"/>
                <w:b/>
                <w:bCs/>
                <w:sz w:val="20"/>
              </w:rPr>
            </w:pPr>
            <w:r w:rsidRPr="00B14C47">
              <w:rPr>
                <w:rFonts w:ascii="Arial" w:hAnsi="Arial" w:cs="Arial"/>
                <w:b/>
                <w:bCs/>
                <w:sz w:val="20"/>
              </w:rPr>
              <w:t>Общо</w:t>
            </w:r>
          </w:p>
        </w:tc>
        <w:tc>
          <w:tcPr>
            <w:tcW w:w="681" w:type="pct"/>
            <w:tcBorders>
              <w:top w:val="nil"/>
              <w:left w:val="nil"/>
              <w:bottom w:val="single" w:sz="4" w:space="0" w:color="auto"/>
              <w:right w:val="nil"/>
            </w:tcBorders>
            <w:shd w:val="clear" w:color="auto" w:fill="00B0F0"/>
            <w:noWrap/>
            <w:vAlign w:val="bottom"/>
            <w:hideMark/>
          </w:tcPr>
          <w:p w14:paraId="671A598B" w14:textId="77777777" w:rsidR="004C7430" w:rsidRPr="00B14C47" w:rsidRDefault="004C7430" w:rsidP="002F3A52">
            <w:pPr>
              <w:rPr>
                <w:rFonts w:ascii="Arial" w:hAnsi="Arial" w:cs="Arial"/>
                <w:b/>
                <w:bCs/>
                <w:sz w:val="20"/>
              </w:rPr>
            </w:pPr>
            <w:r w:rsidRPr="00B14C47">
              <w:rPr>
                <w:rFonts w:ascii="Arial" w:hAnsi="Arial" w:cs="Arial"/>
                <w:b/>
                <w:bCs/>
                <w:sz w:val="20"/>
              </w:rPr>
              <w:t> </w:t>
            </w:r>
          </w:p>
        </w:tc>
        <w:tc>
          <w:tcPr>
            <w:tcW w:w="477" w:type="pct"/>
            <w:gridSpan w:val="2"/>
            <w:tcBorders>
              <w:top w:val="nil"/>
              <w:left w:val="single" w:sz="4" w:space="0" w:color="auto"/>
              <w:bottom w:val="single" w:sz="4" w:space="0" w:color="auto"/>
              <w:right w:val="nil"/>
            </w:tcBorders>
            <w:shd w:val="clear" w:color="auto" w:fill="00B0F0"/>
            <w:noWrap/>
            <w:vAlign w:val="bottom"/>
            <w:hideMark/>
          </w:tcPr>
          <w:p w14:paraId="78EA0894" w14:textId="77777777" w:rsidR="004C7430" w:rsidRPr="00B14C47" w:rsidRDefault="004C7430" w:rsidP="002F3A52">
            <w:pPr>
              <w:rPr>
                <w:rFonts w:ascii="Arial" w:hAnsi="Arial" w:cs="Arial"/>
                <w:b/>
                <w:bCs/>
                <w:sz w:val="20"/>
              </w:rPr>
            </w:pPr>
            <w:r w:rsidRPr="00B14C47">
              <w:rPr>
                <w:rFonts w:ascii="Arial" w:hAnsi="Arial" w:cs="Arial"/>
                <w:b/>
                <w:bCs/>
                <w:sz w:val="20"/>
              </w:rPr>
              <w:t> </w:t>
            </w:r>
          </w:p>
        </w:tc>
        <w:tc>
          <w:tcPr>
            <w:tcW w:w="827" w:type="pct"/>
            <w:gridSpan w:val="4"/>
            <w:tcBorders>
              <w:top w:val="nil"/>
              <w:left w:val="single" w:sz="4" w:space="0" w:color="auto"/>
              <w:bottom w:val="single" w:sz="4" w:space="0" w:color="auto"/>
              <w:right w:val="nil"/>
            </w:tcBorders>
            <w:shd w:val="clear" w:color="auto" w:fill="00B0F0"/>
            <w:noWrap/>
            <w:vAlign w:val="bottom"/>
            <w:hideMark/>
          </w:tcPr>
          <w:p w14:paraId="455802DC" w14:textId="77777777" w:rsidR="004C7430" w:rsidRPr="00B14C47" w:rsidRDefault="004C7430" w:rsidP="002F3A52">
            <w:pPr>
              <w:rPr>
                <w:rFonts w:ascii="Arial" w:hAnsi="Arial" w:cs="Arial"/>
                <w:b/>
                <w:bCs/>
                <w:sz w:val="20"/>
              </w:rPr>
            </w:pPr>
            <w:r w:rsidRPr="00B14C47">
              <w:rPr>
                <w:rFonts w:ascii="Arial" w:hAnsi="Arial" w:cs="Arial"/>
                <w:b/>
                <w:bCs/>
                <w:sz w:val="20"/>
              </w:rPr>
              <w:t xml:space="preserve">                  2 </w:t>
            </w:r>
          </w:p>
        </w:tc>
        <w:tc>
          <w:tcPr>
            <w:tcW w:w="477" w:type="pct"/>
            <w:tcBorders>
              <w:top w:val="nil"/>
              <w:left w:val="single" w:sz="4" w:space="0" w:color="auto"/>
              <w:bottom w:val="single" w:sz="4" w:space="0" w:color="auto"/>
              <w:right w:val="nil"/>
            </w:tcBorders>
            <w:shd w:val="clear" w:color="auto" w:fill="00B0F0"/>
            <w:noWrap/>
            <w:vAlign w:val="bottom"/>
            <w:hideMark/>
          </w:tcPr>
          <w:p w14:paraId="5C729DBE" w14:textId="77777777" w:rsidR="004C7430" w:rsidRPr="00B14C47" w:rsidRDefault="004C7430" w:rsidP="002F3A52">
            <w:pPr>
              <w:rPr>
                <w:rFonts w:ascii="Arial" w:hAnsi="Arial" w:cs="Arial"/>
                <w:b/>
                <w:bCs/>
                <w:sz w:val="20"/>
              </w:rPr>
            </w:pPr>
            <w:r w:rsidRPr="00B14C47">
              <w:rPr>
                <w:rFonts w:ascii="Arial" w:hAnsi="Arial" w:cs="Arial"/>
                <w:b/>
                <w:bCs/>
                <w:sz w:val="20"/>
              </w:rPr>
              <w:t> </w:t>
            </w:r>
          </w:p>
        </w:tc>
        <w:tc>
          <w:tcPr>
            <w:tcW w:w="936" w:type="pct"/>
            <w:gridSpan w:val="2"/>
            <w:tcBorders>
              <w:top w:val="nil"/>
              <w:left w:val="single" w:sz="4" w:space="0" w:color="auto"/>
              <w:bottom w:val="single" w:sz="4" w:space="0" w:color="auto"/>
              <w:right w:val="single" w:sz="4" w:space="0" w:color="auto"/>
            </w:tcBorders>
            <w:shd w:val="clear" w:color="auto" w:fill="00B0F0"/>
            <w:noWrap/>
            <w:vAlign w:val="bottom"/>
            <w:hideMark/>
          </w:tcPr>
          <w:p w14:paraId="341A6A79" w14:textId="77777777" w:rsidR="004C7430" w:rsidRPr="00B14C47" w:rsidRDefault="004C7430" w:rsidP="002F3A52">
            <w:pPr>
              <w:rPr>
                <w:rFonts w:ascii="Arial" w:hAnsi="Arial" w:cs="Arial"/>
                <w:b/>
                <w:bCs/>
                <w:sz w:val="20"/>
              </w:rPr>
            </w:pPr>
            <w:r w:rsidRPr="00B14C47">
              <w:rPr>
                <w:rFonts w:ascii="Arial" w:hAnsi="Arial" w:cs="Arial"/>
                <w:b/>
                <w:bCs/>
                <w:sz w:val="20"/>
              </w:rPr>
              <w:t xml:space="preserve">                     2 </w:t>
            </w:r>
          </w:p>
        </w:tc>
      </w:tr>
    </w:tbl>
    <w:p w14:paraId="27F8A234" w14:textId="77777777" w:rsidR="00CA29CF" w:rsidRDefault="00CA29CF" w:rsidP="00C13396">
      <w:pPr>
        <w:autoSpaceDE w:val="0"/>
        <w:autoSpaceDN w:val="0"/>
        <w:adjustRightInd w:val="0"/>
        <w:rPr>
          <w:rFonts w:ascii="Arial" w:hAnsi="Arial" w:cs="Arial"/>
          <w:color w:val="000000"/>
          <w:sz w:val="20"/>
        </w:rPr>
      </w:pPr>
    </w:p>
    <w:p w14:paraId="0EDE7F13" w14:textId="2D40BF53" w:rsidR="004C7430" w:rsidRPr="00B14C47" w:rsidRDefault="004C7430" w:rsidP="00C13396">
      <w:pPr>
        <w:autoSpaceDE w:val="0"/>
        <w:autoSpaceDN w:val="0"/>
        <w:adjustRightInd w:val="0"/>
        <w:rPr>
          <w:rFonts w:ascii="Arial" w:hAnsi="Arial" w:cs="Arial"/>
          <w:color w:val="000000"/>
          <w:sz w:val="20"/>
        </w:rPr>
      </w:pPr>
      <w:r w:rsidRPr="00B14C47">
        <w:rPr>
          <w:rFonts w:ascii="Arial" w:hAnsi="Arial" w:cs="Arial"/>
          <w:color w:val="000000"/>
          <w:sz w:val="20"/>
        </w:rPr>
        <w:t>Инвестициите в дъщерни предприятия, за които има започнала процедура или открити производства по несъстоятелност са обезценени на 100 % (допълнително оповестяване в т.1 Свързани лица към т. ІV. Други оповестявания).</w:t>
      </w:r>
    </w:p>
    <w:p w14:paraId="3E60C60F" w14:textId="5A5A3082" w:rsidR="00CA29CF" w:rsidRPr="00B14C47" w:rsidRDefault="004C7430" w:rsidP="00C13396">
      <w:pPr>
        <w:autoSpaceDE w:val="0"/>
        <w:autoSpaceDN w:val="0"/>
        <w:adjustRightInd w:val="0"/>
        <w:rPr>
          <w:rFonts w:ascii="Arial" w:hAnsi="Arial" w:cs="Arial"/>
          <w:color w:val="000000"/>
          <w:sz w:val="20"/>
        </w:rPr>
      </w:pPr>
      <w:r w:rsidRPr="00B14C47">
        <w:rPr>
          <w:rFonts w:ascii="Arial" w:hAnsi="Arial" w:cs="Arial"/>
          <w:color w:val="000000"/>
          <w:sz w:val="20"/>
        </w:rPr>
        <w:t>Дружеството няма условни задължения или други поети ангажименти свързани с инвестициите в дъщерни дружества.</w:t>
      </w:r>
    </w:p>
    <w:p w14:paraId="73734613" w14:textId="77777777" w:rsidR="00B66DF8" w:rsidRPr="00B14C47" w:rsidRDefault="00B66DF8" w:rsidP="00B66DF8">
      <w:pPr>
        <w:pStyle w:val="Heading4"/>
        <w:rPr>
          <w:rFonts w:ascii="Arial" w:hAnsi="Arial" w:cs="Arial"/>
          <w:lang w:val="bg-BG"/>
        </w:rPr>
      </w:pPr>
      <w:bookmarkStart w:id="134" w:name="_Toc247959179"/>
      <w:bookmarkStart w:id="135" w:name="_Toc164268374"/>
      <w:r w:rsidRPr="00B14C47">
        <w:rPr>
          <w:rFonts w:ascii="Arial" w:hAnsi="Arial" w:cs="Arial"/>
          <w:lang w:val="bg-BG"/>
        </w:rPr>
        <w:t>2.</w:t>
      </w:r>
      <w:r w:rsidR="002F3A52" w:rsidRPr="00B14C47">
        <w:rPr>
          <w:rFonts w:ascii="Arial" w:hAnsi="Arial" w:cs="Arial"/>
          <w:lang w:val="bg-BG"/>
        </w:rPr>
        <w:t>2</w:t>
      </w:r>
      <w:r w:rsidRPr="00B14C47">
        <w:rPr>
          <w:rFonts w:ascii="Arial" w:hAnsi="Arial" w:cs="Arial"/>
          <w:lang w:val="bg-BG"/>
        </w:rPr>
        <w:t>. Активи по отсрочени данъци</w:t>
      </w:r>
      <w:bookmarkEnd w:id="134"/>
      <w:bookmarkEnd w:id="135"/>
    </w:p>
    <w:tbl>
      <w:tblPr>
        <w:tblW w:w="9537" w:type="dxa"/>
        <w:tblInd w:w="70" w:type="dxa"/>
        <w:tblCellMar>
          <w:left w:w="70" w:type="dxa"/>
          <w:right w:w="70" w:type="dxa"/>
        </w:tblCellMar>
        <w:tblLook w:val="04A0" w:firstRow="1" w:lastRow="0" w:firstColumn="1" w:lastColumn="0" w:noHBand="0" w:noVBand="1"/>
      </w:tblPr>
      <w:tblGrid>
        <w:gridCol w:w="1510"/>
        <w:gridCol w:w="1159"/>
        <w:gridCol w:w="715"/>
        <w:gridCol w:w="1002"/>
        <w:gridCol w:w="999"/>
        <w:gridCol w:w="994"/>
        <w:gridCol w:w="992"/>
        <w:gridCol w:w="993"/>
        <w:gridCol w:w="1173"/>
      </w:tblGrid>
      <w:tr w:rsidR="0047342D" w:rsidRPr="00B14C47" w14:paraId="2680787F" w14:textId="77777777" w:rsidTr="0076262B">
        <w:trPr>
          <w:trHeight w:val="283"/>
        </w:trPr>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54435C"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Временна разлика, неизползвани данъчни загуби, неизполвани данъчни кредити</w:t>
            </w:r>
          </w:p>
        </w:tc>
        <w:tc>
          <w:tcPr>
            <w:tcW w:w="18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8EF06" w14:textId="6AEF2EE4" w:rsidR="0047342D" w:rsidRPr="00B14C47" w:rsidRDefault="00A80B93" w:rsidP="0047342D">
            <w:pPr>
              <w:jc w:val="center"/>
              <w:rPr>
                <w:rFonts w:ascii="Arial" w:hAnsi="Arial" w:cs="Arial"/>
                <w:b/>
                <w:bCs/>
                <w:sz w:val="12"/>
                <w:szCs w:val="12"/>
                <w:lang w:eastAsia="bg-BG"/>
              </w:rPr>
            </w:pPr>
            <w:r>
              <w:rPr>
                <w:rFonts w:ascii="Arial" w:hAnsi="Arial" w:cs="Arial"/>
                <w:b/>
                <w:bCs/>
                <w:sz w:val="12"/>
                <w:szCs w:val="12"/>
                <w:lang w:eastAsia="bg-BG"/>
              </w:rPr>
              <w:t>31 декември 2023</w:t>
            </w:r>
          </w:p>
        </w:tc>
        <w:tc>
          <w:tcPr>
            <w:tcW w:w="39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42E68169" w14:textId="4C246C32"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Движен</w:t>
            </w:r>
            <w:r w:rsidR="009637EA">
              <w:rPr>
                <w:rFonts w:ascii="Arial" w:hAnsi="Arial" w:cs="Arial"/>
                <w:b/>
                <w:bCs/>
                <w:sz w:val="12"/>
                <w:szCs w:val="12"/>
                <w:lang w:eastAsia="bg-BG"/>
              </w:rPr>
              <w:t xml:space="preserve">ие на отсрочените </w:t>
            </w:r>
            <w:r w:rsidR="00A80B93">
              <w:rPr>
                <w:rFonts w:ascii="Arial" w:hAnsi="Arial" w:cs="Arial"/>
                <w:b/>
                <w:bCs/>
                <w:sz w:val="12"/>
                <w:szCs w:val="12"/>
                <w:lang w:eastAsia="bg-BG"/>
              </w:rPr>
              <w:t>данъци за 2024</w:t>
            </w:r>
          </w:p>
        </w:tc>
        <w:tc>
          <w:tcPr>
            <w:tcW w:w="21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F76E2" w14:textId="6224E029" w:rsidR="0047342D" w:rsidRPr="00B14C47" w:rsidRDefault="00C64C55" w:rsidP="0047342D">
            <w:pPr>
              <w:jc w:val="center"/>
              <w:rPr>
                <w:rFonts w:ascii="Arial" w:hAnsi="Arial" w:cs="Arial"/>
                <w:b/>
                <w:bCs/>
                <w:sz w:val="12"/>
                <w:szCs w:val="12"/>
                <w:lang w:eastAsia="bg-BG"/>
              </w:rPr>
            </w:pPr>
            <w:r>
              <w:rPr>
                <w:rFonts w:ascii="Arial" w:hAnsi="Arial" w:cs="Arial"/>
                <w:b/>
                <w:bCs/>
                <w:sz w:val="12"/>
                <w:szCs w:val="12"/>
                <w:lang w:eastAsia="bg-BG"/>
              </w:rPr>
              <w:t>30 юни</w:t>
            </w:r>
            <w:r w:rsidR="00A80B93">
              <w:rPr>
                <w:rFonts w:ascii="Arial" w:hAnsi="Arial" w:cs="Arial"/>
                <w:b/>
                <w:bCs/>
                <w:sz w:val="12"/>
                <w:szCs w:val="12"/>
                <w:lang w:eastAsia="bg-BG"/>
              </w:rPr>
              <w:t xml:space="preserve"> 2024</w:t>
            </w:r>
          </w:p>
        </w:tc>
      </w:tr>
      <w:tr w:rsidR="0047342D" w:rsidRPr="00B14C47" w14:paraId="678F8027" w14:textId="77777777" w:rsidTr="0076262B">
        <w:trPr>
          <w:trHeight w:val="239"/>
        </w:trPr>
        <w:tc>
          <w:tcPr>
            <w:tcW w:w="1510" w:type="dxa"/>
            <w:vMerge/>
            <w:tcBorders>
              <w:top w:val="single" w:sz="4" w:space="0" w:color="auto"/>
              <w:left w:val="single" w:sz="4" w:space="0" w:color="auto"/>
              <w:bottom w:val="single" w:sz="4" w:space="0" w:color="000000"/>
              <w:right w:val="single" w:sz="4" w:space="0" w:color="auto"/>
            </w:tcBorders>
            <w:vAlign w:val="center"/>
            <w:hideMark/>
          </w:tcPr>
          <w:p w14:paraId="299B630D" w14:textId="77777777" w:rsidR="0047342D" w:rsidRPr="00B14C47" w:rsidRDefault="0047342D" w:rsidP="0047342D">
            <w:pPr>
              <w:jc w:val="left"/>
              <w:rPr>
                <w:rFonts w:ascii="Arial" w:hAnsi="Arial" w:cs="Arial"/>
                <w:b/>
                <w:bCs/>
                <w:sz w:val="12"/>
                <w:szCs w:val="12"/>
                <w:lang w:eastAsia="bg-BG"/>
              </w:rPr>
            </w:pPr>
          </w:p>
        </w:tc>
        <w:tc>
          <w:tcPr>
            <w:tcW w:w="1874" w:type="dxa"/>
            <w:gridSpan w:val="2"/>
            <w:vMerge/>
            <w:tcBorders>
              <w:top w:val="single" w:sz="4" w:space="0" w:color="auto"/>
              <w:left w:val="single" w:sz="4" w:space="0" w:color="auto"/>
              <w:bottom w:val="single" w:sz="4" w:space="0" w:color="auto"/>
              <w:right w:val="single" w:sz="4" w:space="0" w:color="auto"/>
            </w:tcBorders>
            <w:vAlign w:val="center"/>
            <w:hideMark/>
          </w:tcPr>
          <w:p w14:paraId="4933A511" w14:textId="77777777" w:rsidR="0047342D" w:rsidRPr="00B14C47" w:rsidRDefault="0047342D" w:rsidP="0047342D">
            <w:pPr>
              <w:jc w:val="left"/>
              <w:rPr>
                <w:rFonts w:ascii="Arial" w:hAnsi="Arial" w:cs="Arial"/>
                <w:b/>
                <w:bCs/>
                <w:sz w:val="12"/>
                <w:szCs w:val="12"/>
                <w:lang w:eastAsia="bg-BG"/>
              </w:rPr>
            </w:pPr>
          </w:p>
        </w:tc>
        <w:tc>
          <w:tcPr>
            <w:tcW w:w="20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50519E"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увеличение</w:t>
            </w:r>
          </w:p>
        </w:tc>
        <w:tc>
          <w:tcPr>
            <w:tcW w:w="1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580F6F"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 xml:space="preserve">намаление </w:t>
            </w:r>
          </w:p>
        </w:tc>
        <w:tc>
          <w:tcPr>
            <w:tcW w:w="2166" w:type="dxa"/>
            <w:gridSpan w:val="2"/>
            <w:vMerge/>
            <w:tcBorders>
              <w:top w:val="single" w:sz="4" w:space="0" w:color="auto"/>
              <w:left w:val="single" w:sz="4" w:space="0" w:color="auto"/>
              <w:bottom w:val="single" w:sz="4" w:space="0" w:color="auto"/>
              <w:right w:val="single" w:sz="4" w:space="0" w:color="auto"/>
            </w:tcBorders>
            <w:vAlign w:val="center"/>
            <w:hideMark/>
          </w:tcPr>
          <w:p w14:paraId="66550AE2" w14:textId="77777777" w:rsidR="0047342D" w:rsidRPr="00B14C47" w:rsidRDefault="0047342D" w:rsidP="0047342D">
            <w:pPr>
              <w:jc w:val="left"/>
              <w:rPr>
                <w:rFonts w:ascii="Arial" w:hAnsi="Arial" w:cs="Arial"/>
                <w:b/>
                <w:bCs/>
                <w:sz w:val="12"/>
                <w:szCs w:val="12"/>
                <w:lang w:eastAsia="bg-BG"/>
              </w:rPr>
            </w:pPr>
          </w:p>
        </w:tc>
      </w:tr>
      <w:tr w:rsidR="0047342D" w:rsidRPr="00B14C47" w14:paraId="255BC321" w14:textId="77777777" w:rsidTr="0047342D">
        <w:trPr>
          <w:trHeight w:val="680"/>
        </w:trPr>
        <w:tc>
          <w:tcPr>
            <w:tcW w:w="1510" w:type="dxa"/>
            <w:vMerge/>
            <w:tcBorders>
              <w:top w:val="single" w:sz="4" w:space="0" w:color="auto"/>
              <w:left w:val="single" w:sz="4" w:space="0" w:color="auto"/>
              <w:bottom w:val="single" w:sz="4" w:space="0" w:color="000000"/>
              <w:right w:val="single" w:sz="4" w:space="0" w:color="auto"/>
            </w:tcBorders>
            <w:vAlign w:val="center"/>
            <w:hideMark/>
          </w:tcPr>
          <w:p w14:paraId="07344245" w14:textId="77777777" w:rsidR="0047342D" w:rsidRPr="00B14C47" w:rsidRDefault="0047342D" w:rsidP="0047342D">
            <w:pPr>
              <w:jc w:val="left"/>
              <w:rPr>
                <w:rFonts w:ascii="Arial" w:hAnsi="Arial" w:cs="Arial"/>
                <w:b/>
                <w:bCs/>
                <w:sz w:val="12"/>
                <w:szCs w:val="12"/>
                <w:lang w:eastAsia="bg-BG"/>
              </w:rPr>
            </w:pPr>
          </w:p>
        </w:tc>
        <w:tc>
          <w:tcPr>
            <w:tcW w:w="1159" w:type="dxa"/>
            <w:tcBorders>
              <w:top w:val="nil"/>
              <w:left w:val="nil"/>
              <w:bottom w:val="single" w:sz="4" w:space="0" w:color="auto"/>
              <w:right w:val="single" w:sz="4" w:space="0" w:color="auto"/>
            </w:tcBorders>
            <w:shd w:val="clear" w:color="auto" w:fill="auto"/>
            <w:vAlign w:val="bottom"/>
            <w:hideMark/>
          </w:tcPr>
          <w:p w14:paraId="7ADF0C55"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715" w:type="dxa"/>
            <w:tcBorders>
              <w:top w:val="nil"/>
              <w:left w:val="nil"/>
              <w:bottom w:val="single" w:sz="4" w:space="0" w:color="auto"/>
              <w:right w:val="single" w:sz="4" w:space="0" w:color="auto"/>
            </w:tcBorders>
            <w:shd w:val="clear" w:color="auto" w:fill="auto"/>
            <w:vAlign w:val="bottom"/>
            <w:hideMark/>
          </w:tcPr>
          <w:p w14:paraId="59E90CB8"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c>
          <w:tcPr>
            <w:tcW w:w="1002" w:type="dxa"/>
            <w:tcBorders>
              <w:top w:val="nil"/>
              <w:left w:val="nil"/>
              <w:bottom w:val="single" w:sz="4" w:space="0" w:color="auto"/>
              <w:right w:val="single" w:sz="4" w:space="0" w:color="auto"/>
            </w:tcBorders>
            <w:shd w:val="clear" w:color="auto" w:fill="auto"/>
            <w:vAlign w:val="bottom"/>
            <w:hideMark/>
          </w:tcPr>
          <w:p w14:paraId="5C99C1CA"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999" w:type="dxa"/>
            <w:tcBorders>
              <w:top w:val="nil"/>
              <w:left w:val="nil"/>
              <w:bottom w:val="single" w:sz="4" w:space="0" w:color="auto"/>
              <w:right w:val="single" w:sz="4" w:space="0" w:color="auto"/>
            </w:tcBorders>
            <w:shd w:val="clear" w:color="auto" w:fill="auto"/>
            <w:vAlign w:val="bottom"/>
            <w:hideMark/>
          </w:tcPr>
          <w:p w14:paraId="11AC3F26"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c>
          <w:tcPr>
            <w:tcW w:w="994" w:type="dxa"/>
            <w:tcBorders>
              <w:top w:val="nil"/>
              <w:left w:val="nil"/>
              <w:bottom w:val="single" w:sz="4" w:space="0" w:color="auto"/>
              <w:right w:val="single" w:sz="4" w:space="0" w:color="auto"/>
            </w:tcBorders>
            <w:shd w:val="clear" w:color="auto" w:fill="auto"/>
            <w:vAlign w:val="bottom"/>
            <w:hideMark/>
          </w:tcPr>
          <w:p w14:paraId="17FF4357"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992" w:type="dxa"/>
            <w:tcBorders>
              <w:top w:val="nil"/>
              <w:left w:val="nil"/>
              <w:bottom w:val="single" w:sz="4" w:space="0" w:color="auto"/>
              <w:right w:val="single" w:sz="4" w:space="0" w:color="auto"/>
            </w:tcBorders>
            <w:shd w:val="clear" w:color="auto" w:fill="auto"/>
            <w:vAlign w:val="bottom"/>
            <w:hideMark/>
          </w:tcPr>
          <w:p w14:paraId="36C70C5D"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c>
          <w:tcPr>
            <w:tcW w:w="993" w:type="dxa"/>
            <w:tcBorders>
              <w:top w:val="nil"/>
              <w:left w:val="nil"/>
              <w:bottom w:val="single" w:sz="4" w:space="0" w:color="auto"/>
              <w:right w:val="single" w:sz="4" w:space="0" w:color="auto"/>
            </w:tcBorders>
            <w:shd w:val="clear" w:color="auto" w:fill="auto"/>
            <w:vAlign w:val="bottom"/>
            <w:hideMark/>
          </w:tcPr>
          <w:p w14:paraId="0D3228A0"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1173" w:type="dxa"/>
            <w:tcBorders>
              <w:top w:val="nil"/>
              <w:left w:val="nil"/>
              <w:bottom w:val="single" w:sz="4" w:space="0" w:color="auto"/>
              <w:right w:val="single" w:sz="4" w:space="0" w:color="auto"/>
            </w:tcBorders>
            <w:shd w:val="clear" w:color="auto" w:fill="auto"/>
            <w:vAlign w:val="bottom"/>
            <w:hideMark/>
          </w:tcPr>
          <w:p w14:paraId="584D379F"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r>
      <w:tr w:rsidR="0047342D" w:rsidRPr="00B14C47" w14:paraId="208A0D16" w14:textId="77777777" w:rsidTr="0076262B">
        <w:trPr>
          <w:trHeight w:val="239"/>
        </w:trPr>
        <w:tc>
          <w:tcPr>
            <w:tcW w:w="953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97FD6"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Активи по отсрочени данъци</w:t>
            </w:r>
          </w:p>
        </w:tc>
      </w:tr>
      <w:tr w:rsidR="0047342D" w:rsidRPr="00B14C47" w14:paraId="22B70DC7" w14:textId="77777777" w:rsidTr="0076262B">
        <w:trPr>
          <w:trHeight w:val="153"/>
        </w:trPr>
        <w:tc>
          <w:tcPr>
            <w:tcW w:w="1510" w:type="dxa"/>
            <w:tcBorders>
              <w:top w:val="nil"/>
              <w:left w:val="single" w:sz="4" w:space="0" w:color="auto"/>
              <w:bottom w:val="single" w:sz="4" w:space="0" w:color="auto"/>
              <w:right w:val="single" w:sz="4" w:space="0" w:color="auto"/>
            </w:tcBorders>
            <w:shd w:val="clear" w:color="auto" w:fill="auto"/>
            <w:vAlign w:val="bottom"/>
            <w:hideMark/>
          </w:tcPr>
          <w:p w14:paraId="6B24BE63"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Доходи на ФЛ</w:t>
            </w:r>
          </w:p>
        </w:tc>
        <w:tc>
          <w:tcPr>
            <w:tcW w:w="1159" w:type="dxa"/>
            <w:tcBorders>
              <w:top w:val="nil"/>
              <w:left w:val="nil"/>
              <w:bottom w:val="single" w:sz="4" w:space="0" w:color="auto"/>
              <w:right w:val="single" w:sz="4" w:space="0" w:color="auto"/>
            </w:tcBorders>
            <w:shd w:val="clear" w:color="auto" w:fill="auto"/>
            <w:noWrap/>
            <w:vAlign w:val="center"/>
            <w:hideMark/>
          </w:tcPr>
          <w:p w14:paraId="7BA8BB0C" w14:textId="7EDC4BBD" w:rsidR="0047342D" w:rsidRPr="00B14C47" w:rsidRDefault="00A80B93" w:rsidP="0047342D">
            <w:pPr>
              <w:jc w:val="left"/>
              <w:rPr>
                <w:rFonts w:ascii="Arial" w:hAnsi="Arial" w:cs="Arial"/>
                <w:sz w:val="12"/>
                <w:szCs w:val="12"/>
                <w:lang w:eastAsia="bg-BG"/>
              </w:rPr>
            </w:pPr>
            <w:r>
              <w:rPr>
                <w:rFonts w:ascii="Arial" w:hAnsi="Arial" w:cs="Arial"/>
                <w:sz w:val="12"/>
                <w:szCs w:val="12"/>
                <w:lang w:eastAsia="bg-BG"/>
              </w:rPr>
              <w:t xml:space="preserve">                       5</w:t>
            </w:r>
            <w:r w:rsidR="0047342D" w:rsidRPr="00B14C47">
              <w:rPr>
                <w:rFonts w:ascii="Arial" w:hAnsi="Arial" w:cs="Arial"/>
                <w:sz w:val="12"/>
                <w:szCs w:val="12"/>
                <w:lang w:eastAsia="bg-BG"/>
              </w:rPr>
              <w:t xml:space="preserve"> </w:t>
            </w:r>
          </w:p>
        </w:tc>
        <w:tc>
          <w:tcPr>
            <w:tcW w:w="715" w:type="dxa"/>
            <w:tcBorders>
              <w:top w:val="nil"/>
              <w:left w:val="nil"/>
              <w:bottom w:val="single" w:sz="4" w:space="0" w:color="auto"/>
              <w:right w:val="single" w:sz="4" w:space="0" w:color="auto"/>
            </w:tcBorders>
            <w:shd w:val="clear" w:color="auto" w:fill="auto"/>
            <w:noWrap/>
            <w:vAlign w:val="center"/>
            <w:hideMark/>
          </w:tcPr>
          <w:p w14:paraId="131CA888"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1 </w:t>
            </w:r>
          </w:p>
        </w:tc>
        <w:tc>
          <w:tcPr>
            <w:tcW w:w="1002" w:type="dxa"/>
            <w:tcBorders>
              <w:top w:val="nil"/>
              <w:left w:val="nil"/>
              <w:bottom w:val="single" w:sz="4" w:space="0" w:color="auto"/>
              <w:right w:val="single" w:sz="4" w:space="0" w:color="auto"/>
            </w:tcBorders>
            <w:shd w:val="clear" w:color="auto" w:fill="auto"/>
            <w:noWrap/>
            <w:vAlign w:val="center"/>
            <w:hideMark/>
          </w:tcPr>
          <w:p w14:paraId="4D7A35E8"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w:t>
            </w:r>
          </w:p>
        </w:tc>
        <w:tc>
          <w:tcPr>
            <w:tcW w:w="999" w:type="dxa"/>
            <w:tcBorders>
              <w:top w:val="nil"/>
              <w:left w:val="nil"/>
              <w:bottom w:val="single" w:sz="4" w:space="0" w:color="auto"/>
              <w:right w:val="single" w:sz="4" w:space="0" w:color="auto"/>
            </w:tcBorders>
            <w:shd w:val="clear" w:color="auto" w:fill="auto"/>
            <w:noWrap/>
            <w:vAlign w:val="center"/>
            <w:hideMark/>
          </w:tcPr>
          <w:p w14:paraId="6472F094"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 </w:t>
            </w:r>
          </w:p>
        </w:tc>
        <w:tc>
          <w:tcPr>
            <w:tcW w:w="994" w:type="dxa"/>
            <w:tcBorders>
              <w:top w:val="nil"/>
              <w:left w:val="nil"/>
              <w:bottom w:val="single" w:sz="4" w:space="0" w:color="auto"/>
              <w:right w:val="single" w:sz="4" w:space="0" w:color="auto"/>
            </w:tcBorders>
            <w:shd w:val="clear" w:color="auto" w:fill="auto"/>
            <w:noWrap/>
            <w:vAlign w:val="center"/>
            <w:hideMark/>
          </w:tcPr>
          <w:p w14:paraId="28843BCD" w14:textId="09521744" w:rsidR="0047342D" w:rsidRPr="00B14C47" w:rsidRDefault="0047342D" w:rsidP="0047342D">
            <w:pPr>
              <w:jc w:val="left"/>
              <w:rPr>
                <w:rFonts w:ascii="Arial" w:hAnsi="Arial" w:cs="Arial"/>
                <w:sz w:val="12"/>
                <w:szCs w:val="12"/>
                <w:lang w:eastAsia="bg-BG"/>
              </w:rPr>
            </w:pPr>
          </w:p>
        </w:tc>
        <w:tc>
          <w:tcPr>
            <w:tcW w:w="992" w:type="dxa"/>
            <w:tcBorders>
              <w:top w:val="nil"/>
              <w:left w:val="nil"/>
              <w:bottom w:val="single" w:sz="4" w:space="0" w:color="auto"/>
              <w:right w:val="single" w:sz="4" w:space="0" w:color="auto"/>
            </w:tcBorders>
            <w:shd w:val="clear" w:color="auto" w:fill="auto"/>
            <w:noWrap/>
            <w:vAlign w:val="center"/>
            <w:hideMark/>
          </w:tcPr>
          <w:p w14:paraId="73F6FFBC"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 </w:t>
            </w:r>
          </w:p>
        </w:tc>
        <w:tc>
          <w:tcPr>
            <w:tcW w:w="993" w:type="dxa"/>
            <w:tcBorders>
              <w:top w:val="nil"/>
              <w:left w:val="nil"/>
              <w:bottom w:val="single" w:sz="4" w:space="0" w:color="auto"/>
              <w:right w:val="single" w:sz="4" w:space="0" w:color="auto"/>
            </w:tcBorders>
            <w:shd w:val="clear" w:color="auto" w:fill="auto"/>
            <w:noWrap/>
            <w:vAlign w:val="center"/>
            <w:hideMark/>
          </w:tcPr>
          <w:p w14:paraId="65BDCE73" w14:textId="7D9D6B16"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w:t>
            </w:r>
            <w:r w:rsidR="002B2E78">
              <w:rPr>
                <w:rFonts w:ascii="Arial" w:hAnsi="Arial" w:cs="Arial"/>
                <w:sz w:val="12"/>
                <w:szCs w:val="12"/>
                <w:lang w:eastAsia="bg-BG"/>
              </w:rPr>
              <w:t>5</w:t>
            </w:r>
            <w:r w:rsidR="002B2E78" w:rsidRPr="00B14C47">
              <w:rPr>
                <w:rFonts w:ascii="Arial" w:hAnsi="Arial" w:cs="Arial"/>
                <w:sz w:val="12"/>
                <w:szCs w:val="12"/>
                <w:lang w:eastAsia="bg-BG"/>
              </w:rPr>
              <w:t xml:space="preserve"> </w:t>
            </w:r>
          </w:p>
        </w:tc>
        <w:tc>
          <w:tcPr>
            <w:tcW w:w="1173" w:type="dxa"/>
            <w:tcBorders>
              <w:top w:val="nil"/>
              <w:left w:val="nil"/>
              <w:bottom w:val="single" w:sz="4" w:space="0" w:color="auto"/>
              <w:right w:val="single" w:sz="4" w:space="0" w:color="auto"/>
            </w:tcBorders>
            <w:shd w:val="clear" w:color="auto" w:fill="auto"/>
            <w:noWrap/>
            <w:vAlign w:val="center"/>
            <w:hideMark/>
          </w:tcPr>
          <w:p w14:paraId="3DA5F50F"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1 </w:t>
            </w:r>
          </w:p>
        </w:tc>
      </w:tr>
      <w:tr w:rsidR="0047342D" w:rsidRPr="00B14C47" w14:paraId="5722413C" w14:textId="77777777" w:rsidTr="0076262B">
        <w:trPr>
          <w:trHeight w:val="56"/>
        </w:trPr>
        <w:tc>
          <w:tcPr>
            <w:tcW w:w="1510" w:type="dxa"/>
            <w:tcBorders>
              <w:top w:val="nil"/>
              <w:left w:val="single" w:sz="4" w:space="0" w:color="auto"/>
              <w:bottom w:val="single" w:sz="4" w:space="0" w:color="auto"/>
              <w:right w:val="single" w:sz="4" w:space="0" w:color="auto"/>
            </w:tcBorders>
            <w:shd w:val="clear" w:color="auto" w:fill="auto"/>
            <w:vAlign w:val="bottom"/>
            <w:hideMark/>
          </w:tcPr>
          <w:p w14:paraId="63985026"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Общо активи по отсрочени данъци</w:t>
            </w:r>
          </w:p>
        </w:tc>
        <w:tc>
          <w:tcPr>
            <w:tcW w:w="1159" w:type="dxa"/>
            <w:tcBorders>
              <w:top w:val="nil"/>
              <w:left w:val="nil"/>
              <w:bottom w:val="single" w:sz="4" w:space="0" w:color="auto"/>
              <w:right w:val="single" w:sz="4" w:space="0" w:color="auto"/>
            </w:tcBorders>
            <w:shd w:val="clear" w:color="auto" w:fill="auto"/>
            <w:noWrap/>
            <w:vAlign w:val="bottom"/>
            <w:hideMark/>
          </w:tcPr>
          <w:p w14:paraId="6547BF3C" w14:textId="50D87E03" w:rsidR="0047342D" w:rsidRPr="00B14C47" w:rsidRDefault="00A80B93" w:rsidP="0047342D">
            <w:pPr>
              <w:jc w:val="left"/>
              <w:rPr>
                <w:rFonts w:ascii="Arial" w:hAnsi="Arial" w:cs="Arial"/>
                <w:b/>
                <w:bCs/>
                <w:sz w:val="12"/>
                <w:szCs w:val="12"/>
                <w:lang w:eastAsia="bg-BG"/>
              </w:rPr>
            </w:pPr>
            <w:r>
              <w:rPr>
                <w:rFonts w:ascii="Arial" w:hAnsi="Arial" w:cs="Arial"/>
                <w:b/>
                <w:bCs/>
                <w:sz w:val="12"/>
                <w:szCs w:val="12"/>
                <w:lang w:eastAsia="bg-BG"/>
              </w:rPr>
              <w:t xml:space="preserve">                       5</w:t>
            </w:r>
            <w:r w:rsidR="0047342D" w:rsidRPr="00B14C47">
              <w:rPr>
                <w:rFonts w:ascii="Arial" w:hAnsi="Arial" w:cs="Arial"/>
                <w:b/>
                <w:bCs/>
                <w:sz w:val="12"/>
                <w:szCs w:val="12"/>
                <w:lang w:eastAsia="bg-BG"/>
              </w:rPr>
              <w:t xml:space="preserve"> </w:t>
            </w:r>
          </w:p>
        </w:tc>
        <w:tc>
          <w:tcPr>
            <w:tcW w:w="715" w:type="dxa"/>
            <w:tcBorders>
              <w:top w:val="nil"/>
              <w:left w:val="nil"/>
              <w:bottom w:val="single" w:sz="4" w:space="0" w:color="auto"/>
              <w:right w:val="single" w:sz="4" w:space="0" w:color="auto"/>
            </w:tcBorders>
            <w:shd w:val="clear" w:color="auto" w:fill="auto"/>
            <w:noWrap/>
            <w:vAlign w:val="bottom"/>
            <w:hideMark/>
          </w:tcPr>
          <w:p w14:paraId="0C803D30"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c>
          <w:tcPr>
            <w:tcW w:w="1002" w:type="dxa"/>
            <w:tcBorders>
              <w:top w:val="nil"/>
              <w:left w:val="nil"/>
              <w:bottom w:val="single" w:sz="4" w:space="0" w:color="auto"/>
              <w:right w:val="single" w:sz="4" w:space="0" w:color="auto"/>
            </w:tcBorders>
            <w:shd w:val="clear" w:color="auto" w:fill="auto"/>
            <w:noWrap/>
            <w:vAlign w:val="bottom"/>
            <w:hideMark/>
          </w:tcPr>
          <w:p w14:paraId="2EB80C7E"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9" w:type="dxa"/>
            <w:tcBorders>
              <w:top w:val="nil"/>
              <w:left w:val="nil"/>
              <w:bottom w:val="single" w:sz="4" w:space="0" w:color="auto"/>
              <w:right w:val="single" w:sz="4" w:space="0" w:color="auto"/>
            </w:tcBorders>
            <w:shd w:val="clear" w:color="auto" w:fill="auto"/>
            <w:noWrap/>
            <w:vAlign w:val="bottom"/>
            <w:hideMark/>
          </w:tcPr>
          <w:p w14:paraId="65C3FE23"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AF95FAE" w14:textId="2D5348EC"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2B2E78" w:rsidRPr="00B14C47">
              <w:rPr>
                <w:rFonts w:ascii="Arial" w:hAnsi="Arial" w:cs="Arial"/>
                <w:b/>
                <w:bCs/>
                <w:sz w:val="12"/>
                <w:szCs w:val="12"/>
                <w:lang w:eastAsia="bg-BG"/>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BD85D52"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14:paraId="7680D4B9" w14:textId="08EE4E31"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2B2E78">
              <w:rPr>
                <w:rFonts w:ascii="Arial" w:hAnsi="Arial" w:cs="Arial"/>
                <w:b/>
                <w:bCs/>
                <w:sz w:val="12"/>
                <w:szCs w:val="12"/>
                <w:lang w:eastAsia="bg-BG"/>
              </w:rPr>
              <w:t>5</w:t>
            </w:r>
            <w:r w:rsidR="002B2E78" w:rsidRPr="00B14C47">
              <w:rPr>
                <w:rFonts w:ascii="Arial" w:hAnsi="Arial" w:cs="Arial"/>
                <w:b/>
                <w:bCs/>
                <w:sz w:val="12"/>
                <w:szCs w:val="12"/>
                <w:lang w:eastAsia="bg-BG"/>
              </w:rPr>
              <w:t xml:space="preserve"> </w:t>
            </w:r>
          </w:p>
        </w:tc>
        <w:tc>
          <w:tcPr>
            <w:tcW w:w="1173" w:type="dxa"/>
            <w:tcBorders>
              <w:top w:val="nil"/>
              <w:left w:val="nil"/>
              <w:bottom w:val="single" w:sz="4" w:space="0" w:color="auto"/>
              <w:right w:val="single" w:sz="4" w:space="0" w:color="auto"/>
            </w:tcBorders>
            <w:shd w:val="clear" w:color="auto" w:fill="auto"/>
            <w:noWrap/>
            <w:vAlign w:val="bottom"/>
            <w:hideMark/>
          </w:tcPr>
          <w:p w14:paraId="476DB76A"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r>
      <w:tr w:rsidR="0047342D" w:rsidRPr="00B14C47" w14:paraId="46875E27" w14:textId="77777777" w:rsidTr="0047342D">
        <w:trPr>
          <w:trHeight w:val="283"/>
        </w:trPr>
        <w:tc>
          <w:tcPr>
            <w:tcW w:w="1510" w:type="dxa"/>
            <w:tcBorders>
              <w:top w:val="nil"/>
              <w:left w:val="single" w:sz="4" w:space="0" w:color="auto"/>
              <w:bottom w:val="single" w:sz="4" w:space="0" w:color="auto"/>
              <w:right w:val="single" w:sz="4" w:space="0" w:color="auto"/>
            </w:tcBorders>
            <w:shd w:val="clear" w:color="000000" w:fill="00AEEF"/>
            <w:noWrap/>
            <w:vAlign w:val="bottom"/>
            <w:hideMark/>
          </w:tcPr>
          <w:p w14:paraId="582D91EF"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Отсрочени данъци (нето)</w:t>
            </w:r>
          </w:p>
        </w:tc>
        <w:tc>
          <w:tcPr>
            <w:tcW w:w="1159" w:type="dxa"/>
            <w:tcBorders>
              <w:top w:val="nil"/>
              <w:left w:val="nil"/>
              <w:bottom w:val="single" w:sz="4" w:space="0" w:color="auto"/>
              <w:right w:val="single" w:sz="4" w:space="0" w:color="auto"/>
            </w:tcBorders>
            <w:shd w:val="clear" w:color="000000" w:fill="00AEEF"/>
            <w:noWrap/>
            <w:vAlign w:val="bottom"/>
            <w:hideMark/>
          </w:tcPr>
          <w:p w14:paraId="67445051" w14:textId="225DF378" w:rsidR="0047342D" w:rsidRPr="00B14C47" w:rsidRDefault="00A80B93" w:rsidP="0047342D">
            <w:pPr>
              <w:jc w:val="left"/>
              <w:rPr>
                <w:rFonts w:ascii="Arial" w:hAnsi="Arial" w:cs="Arial"/>
                <w:b/>
                <w:bCs/>
                <w:sz w:val="12"/>
                <w:szCs w:val="12"/>
                <w:lang w:eastAsia="bg-BG"/>
              </w:rPr>
            </w:pPr>
            <w:r>
              <w:rPr>
                <w:rFonts w:ascii="Arial" w:hAnsi="Arial" w:cs="Arial"/>
                <w:b/>
                <w:bCs/>
                <w:sz w:val="12"/>
                <w:szCs w:val="12"/>
                <w:lang w:eastAsia="bg-BG"/>
              </w:rPr>
              <w:t xml:space="preserve">                       5</w:t>
            </w:r>
            <w:r w:rsidR="0047342D" w:rsidRPr="00B14C47">
              <w:rPr>
                <w:rFonts w:ascii="Arial" w:hAnsi="Arial" w:cs="Arial"/>
                <w:b/>
                <w:bCs/>
                <w:sz w:val="12"/>
                <w:szCs w:val="12"/>
                <w:lang w:eastAsia="bg-BG"/>
              </w:rPr>
              <w:t xml:space="preserve"> </w:t>
            </w:r>
          </w:p>
        </w:tc>
        <w:tc>
          <w:tcPr>
            <w:tcW w:w="715" w:type="dxa"/>
            <w:tcBorders>
              <w:top w:val="nil"/>
              <w:left w:val="nil"/>
              <w:bottom w:val="single" w:sz="4" w:space="0" w:color="auto"/>
              <w:right w:val="single" w:sz="4" w:space="0" w:color="auto"/>
            </w:tcBorders>
            <w:shd w:val="clear" w:color="000000" w:fill="00AEEF"/>
            <w:noWrap/>
            <w:vAlign w:val="bottom"/>
            <w:hideMark/>
          </w:tcPr>
          <w:p w14:paraId="42CA331B"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c>
          <w:tcPr>
            <w:tcW w:w="1002" w:type="dxa"/>
            <w:tcBorders>
              <w:top w:val="nil"/>
              <w:left w:val="nil"/>
              <w:bottom w:val="single" w:sz="4" w:space="0" w:color="auto"/>
              <w:right w:val="single" w:sz="4" w:space="0" w:color="auto"/>
            </w:tcBorders>
            <w:shd w:val="clear" w:color="000000" w:fill="00AEEF"/>
            <w:noWrap/>
            <w:vAlign w:val="bottom"/>
            <w:hideMark/>
          </w:tcPr>
          <w:p w14:paraId="62175A10"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9" w:type="dxa"/>
            <w:tcBorders>
              <w:top w:val="nil"/>
              <w:left w:val="nil"/>
              <w:bottom w:val="single" w:sz="4" w:space="0" w:color="auto"/>
              <w:right w:val="single" w:sz="4" w:space="0" w:color="auto"/>
            </w:tcBorders>
            <w:shd w:val="clear" w:color="000000" w:fill="00AEEF"/>
            <w:noWrap/>
            <w:vAlign w:val="bottom"/>
            <w:hideMark/>
          </w:tcPr>
          <w:p w14:paraId="34E70E0D"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4" w:type="dxa"/>
            <w:tcBorders>
              <w:top w:val="nil"/>
              <w:left w:val="nil"/>
              <w:bottom w:val="single" w:sz="4" w:space="0" w:color="auto"/>
              <w:right w:val="single" w:sz="4" w:space="0" w:color="auto"/>
            </w:tcBorders>
            <w:shd w:val="clear" w:color="000000" w:fill="00AEEF"/>
            <w:noWrap/>
            <w:vAlign w:val="bottom"/>
            <w:hideMark/>
          </w:tcPr>
          <w:p w14:paraId="1F12D454" w14:textId="6F214891"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p>
        </w:tc>
        <w:tc>
          <w:tcPr>
            <w:tcW w:w="992" w:type="dxa"/>
            <w:tcBorders>
              <w:top w:val="nil"/>
              <w:left w:val="nil"/>
              <w:bottom w:val="single" w:sz="4" w:space="0" w:color="auto"/>
              <w:right w:val="single" w:sz="4" w:space="0" w:color="auto"/>
            </w:tcBorders>
            <w:shd w:val="clear" w:color="000000" w:fill="00AEEF"/>
            <w:noWrap/>
            <w:vAlign w:val="bottom"/>
            <w:hideMark/>
          </w:tcPr>
          <w:p w14:paraId="3068588F"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3" w:type="dxa"/>
            <w:tcBorders>
              <w:top w:val="nil"/>
              <w:left w:val="nil"/>
              <w:bottom w:val="single" w:sz="4" w:space="0" w:color="auto"/>
              <w:right w:val="single" w:sz="4" w:space="0" w:color="auto"/>
            </w:tcBorders>
            <w:shd w:val="clear" w:color="000000" w:fill="00AEEF"/>
            <w:noWrap/>
            <w:vAlign w:val="bottom"/>
            <w:hideMark/>
          </w:tcPr>
          <w:p w14:paraId="2E1A28B6" w14:textId="124AB498"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2B2E78">
              <w:rPr>
                <w:rFonts w:ascii="Arial" w:hAnsi="Arial" w:cs="Arial"/>
                <w:b/>
                <w:bCs/>
                <w:sz w:val="12"/>
                <w:szCs w:val="12"/>
                <w:lang w:eastAsia="bg-BG"/>
              </w:rPr>
              <w:t>5</w:t>
            </w:r>
            <w:r w:rsidR="002B2E78" w:rsidRPr="00B14C47">
              <w:rPr>
                <w:rFonts w:ascii="Arial" w:hAnsi="Arial" w:cs="Arial"/>
                <w:b/>
                <w:bCs/>
                <w:sz w:val="12"/>
                <w:szCs w:val="12"/>
                <w:lang w:eastAsia="bg-BG"/>
              </w:rPr>
              <w:t xml:space="preserve"> </w:t>
            </w:r>
          </w:p>
        </w:tc>
        <w:tc>
          <w:tcPr>
            <w:tcW w:w="1173" w:type="dxa"/>
            <w:tcBorders>
              <w:top w:val="nil"/>
              <w:left w:val="nil"/>
              <w:bottom w:val="single" w:sz="4" w:space="0" w:color="auto"/>
              <w:right w:val="single" w:sz="4" w:space="0" w:color="auto"/>
            </w:tcBorders>
            <w:shd w:val="clear" w:color="000000" w:fill="00AEEF"/>
            <w:noWrap/>
            <w:vAlign w:val="bottom"/>
            <w:hideMark/>
          </w:tcPr>
          <w:p w14:paraId="3C98A1E3"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r>
    </w:tbl>
    <w:p w14:paraId="5233CC18" w14:textId="77777777" w:rsidR="0047342D" w:rsidRPr="009F00E2" w:rsidRDefault="0047342D"/>
    <w:tbl>
      <w:tblPr>
        <w:tblW w:w="4997" w:type="pct"/>
        <w:tblCellMar>
          <w:left w:w="70" w:type="dxa"/>
          <w:right w:w="70" w:type="dxa"/>
        </w:tblCellMar>
        <w:tblLook w:val="04A0" w:firstRow="1" w:lastRow="0" w:firstColumn="1" w:lastColumn="0" w:noHBand="0" w:noVBand="1"/>
      </w:tblPr>
      <w:tblGrid>
        <w:gridCol w:w="5466"/>
        <w:gridCol w:w="2128"/>
        <w:gridCol w:w="2007"/>
      </w:tblGrid>
      <w:tr w:rsidR="002F3A52" w:rsidRPr="00B14C47" w14:paraId="318B67E2" w14:textId="77777777" w:rsidTr="003833F6">
        <w:trPr>
          <w:trHeight w:val="229"/>
        </w:trPr>
        <w:tc>
          <w:tcPr>
            <w:tcW w:w="28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7323367" w14:textId="77777777" w:rsidR="002F3A52" w:rsidRPr="00B14C47" w:rsidRDefault="002F3A52" w:rsidP="002F3A52">
            <w:pPr>
              <w:jc w:val="left"/>
              <w:rPr>
                <w:rFonts w:ascii="Arial" w:hAnsi="Arial" w:cs="Arial"/>
                <w:b/>
                <w:bCs/>
                <w:sz w:val="20"/>
                <w:lang w:eastAsia="bg-BG"/>
              </w:rPr>
            </w:pPr>
            <w:r w:rsidRPr="00B14C47">
              <w:rPr>
                <w:rFonts w:ascii="Arial" w:hAnsi="Arial" w:cs="Arial"/>
                <w:b/>
                <w:bCs/>
                <w:sz w:val="20"/>
                <w:lang w:eastAsia="bg-BG"/>
              </w:rPr>
              <w:t xml:space="preserve">Отсрочени данъци </w:t>
            </w:r>
          </w:p>
        </w:tc>
        <w:tc>
          <w:tcPr>
            <w:tcW w:w="1108" w:type="pct"/>
            <w:tcBorders>
              <w:top w:val="single" w:sz="4" w:space="0" w:color="auto"/>
              <w:left w:val="nil"/>
              <w:bottom w:val="single" w:sz="4" w:space="0" w:color="auto"/>
              <w:right w:val="single" w:sz="4" w:space="0" w:color="auto"/>
            </w:tcBorders>
            <w:shd w:val="clear" w:color="000000" w:fill="FFFFFF"/>
            <w:noWrap/>
            <w:vAlign w:val="bottom"/>
            <w:hideMark/>
          </w:tcPr>
          <w:p w14:paraId="2BEAB2A9" w14:textId="0DD116D2" w:rsidR="002F3A52" w:rsidRPr="00B14C47" w:rsidRDefault="002F3A52" w:rsidP="00FE6049">
            <w:pPr>
              <w:jc w:val="center"/>
              <w:rPr>
                <w:rFonts w:ascii="Arial" w:hAnsi="Arial" w:cs="Arial"/>
                <w:b/>
                <w:bCs/>
                <w:sz w:val="20"/>
                <w:lang w:eastAsia="bg-BG"/>
              </w:rPr>
            </w:pPr>
            <w:r w:rsidRPr="00B14C47">
              <w:rPr>
                <w:rFonts w:ascii="Arial" w:hAnsi="Arial" w:cs="Arial"/>
                <w:b/>
                <w:bCs/>
                <w:sz w:val="20"/>
                <w:lang w:eastAsia="bg-BG"/>
              </w:rPr>
              <w:t>3</w:t>
            </w:r>
            <w:r w:rsidR="00C64C55">
              <w:rPr>
                <w:rFonts w:ascii="Arial" w:hAnsi="Arial" w:cs="Arial"/>
                <w:b/>
                <w:bCs/>
                <w:sz w:val="20"/>
                <w:lang w:eastAsia="bg-BG"/>
              </w:rPr>
              <w:t>0</w:t>
            </w:r>
            <w:r w:rsidRPr="00B14C47">
              <w:rPr>
                <w:rFonts w:ascii="Arial" w:hAnsi="Arial" w:cs="Arial"/>
                <w:b/>
                <w:bCs/>
                <w:sz w:val="20"/>
                <w:lang w:eastAsia="bg-BG"/>
              </w:rPr>
              <w:t>.</w:t>
            </w:r>
            <w:r w:rsidR="00C64C55">
              <w:rPr>
                <w:rFonts w:ascii="Arial" w:hAnsi="Arial" w:cs="Arial"/>
                <w:b/>
                <w:bCs/>
                <w:sz w:val="20"/>
                <w:lang w:eastAsia="bg-BG"/>
              </w:rPr>
              <w:t>06</w:t>
            </w:r>
            <w:r w:rsidRPr="00B14C47">
              <w:rPr>
                <w:rFonts w:ascii="Arial" w:hAnsi="Arial" w:cs="Arial"/>
                <w:b/>
                <w:bCs/>
                <w:sz w:val="20"/>
                <w:lang w:eastAsia="bg-BG"/>
              </w:rPr>
              <w:t>.20</w:t>
            </w:r>
            <w:r w:rsidR="00187AF2" w:rsidRPr="00B14C47">
              <w:rPr>
                <w:rFonts w:ascii="Arial" w:hAnsi="Arial" w:cs="Arial"/>
                <w:b/>
                <w:bCs/>
                <w:sz w:val="20"/>
                <w:lang w:eastAsia="bg-BG"/>
              </w:rPr>
              <w:t>2</w:t>
            </w:r>
            <w:r w:rsidR="00A80B93">
              <w:rPr>
                <w:rFonts w:ascii="Arial" w:hAnsi="Arial" w:cs="Arial"/>
                <w:b/>
                <w:bCs/>
                <w:sz w:val="20"/>
                <w:lang w:eastAsia="bg-BG"/>
              </w:rPr>
              <w:t>4</w:t>
            </w:r>
          </w:p>
        </w:tc>
        <w:tc>
          <w:tcPr>
            <w:tcW w:w="1046" w:type="pct"/>
            <w:tcBorders>
              <w:top w:val="single" w:sz="4" w:space="0" w:color="auto"/>
              <w:left w:val="nil"/>
              <w:bottom w:val="single" w:sz="4" w:space="0" w:color="auto"/>
              <w:right w:val="single" w:sz="4" w:space="0" w:color="auto"/>
            </w:tcBorders>
            <w:shd w:val="clear" w:color="000000" w:fill="FFFFFF"/>
            <w:vAlign w:val="bottom"/>
          </w:tcPr>
          <w:p w14:paraId="65D4D8BB" w14:textId="4A26A32B" w:rsidR="002F3A52" w:rsidRPr="00B14C47" w:rsidRDefault="00187AF2" w:rsidP="005F63DE">
            <w:pPr>
              <w:jc w:val="center"/>
              <w:rPr>
                <w:rFonts w:ascii="Arial" w:hAnsi="Arial" w:cs="Arial"/>
                <w:b/>
                <w:bCs/>
                <w:sz w:val="20"/>
                <w:lang w:eastAsia="bg-BG"/>
              </w:rPr>
            </w:pPr>
            <w:r w:rsidRPr="00B14C47">
              <w:rPr>
                <w:rFonts w:ascii="Arial" w:hAnsi="Arial" w:cs="Arial"/>
                <w:b/>
                <w:bCs/>
                <w:sz w:val="20"/>
                <w:lang w:eastAsia="bg-BG"/>
              </w:rPr>
              <w:t>31.12.20</w:t>
            </w:r>
            <w:r w:rsidR="00A80B93">
              <w:rPr>
                <w:rFonts w:ascii="Arial" w:hAnsi="Arial" w:cs="Arial"/>
                <w:b/>
                <w:bCs/>
                <w:sz w:val="20"/>
                <w:lang w:eastAsia="bg-BG"/>
              </w:rPr>
              <w:t>23</w:t>
            </w:r>
          </w:p>
        </w:tc>
      </w:tr>
      <w:tr w:rsidR="002F3A52" w:rsidRPr="00B14C47" w14:paraId="203C81AF" w14:textId="77777777" w:rsidTr="003833F6">
        <w:trPr>
          <w:trHeight w:val="255"/>
        </w:trPr>
        <w:tc>
          <w:tcPr>
            <w:tcW w:w="2847" w:type="pct"/>
            <w:tcBorders>
              <w:top w:val="nil"/>
              <w:left w:val="single" w:sz="4" w:space="0" w:color="auto"/>
              <w:bottom w:val="single" w:sz="4" w:space="0" w:color="auto"/>
              <w:right w:val="single" w:sz="4" w:space="0" w:color="auto"/>
            </w:tcBorders>
            <w:shd w:val="clear" w:color="000000" w:fill="FFFFFF"/>
            <w:noWrap/>
            <w:vAlign w:val="bottom"/>
            <w:hideMark/>
          </w:tcPr>
          <w:p w14:paraId="4C1D1CCC" w14:textId="77777777" w:rsidR="002F3A52" w:rsidRPr="00B14C47" w:rsidRDefault="002F3A52" w:rsidP="002F3A52">
            <w:pPr>
              <w:jc w:val="left"/>
              <w:rPr>
                <w:rFonts w:ascii="Arial" w:hAnsi="Arial" w:cs="Arial"/>
                <w:sz w:val="20"/>
                <w:lang w:eastAsia="bg-BG"/>
              </w:rPr>
            </w:pPr>
            <w:r w:rsidRPr="00B14C47">
              <w:rPr>
                <w:rFonts w:ascii="Arial" w:hAnsi="Arial" w:cs="Arial"/>
                <w:sz w:val="20"/>
                <w:lang w:eastAsia="bg-BG"/>
              </w:rPr>
              <w:t>Отсрочени данъчни активи</w:t>
            </w:r>
          </w:p>
        </w:tc>
        <w:tc>
          <w:tcPr>
            <w:tcW w:w="1108" w:type="pct"/>
            <w:tcBorders>
              <w:top w:val="nil"/>
              <w:left w:val="nil"/>
              <w:bottom w:val="single" w:sz="4" w:space="0" w:color="auto"/>
              <w:right w:val="single" w:sz="4" w:space="0" w:color="auto"/>
            </w:tcBorders>
            <w:shd w:val="clear" w:color="000000" w:fill="FFFFFF"/>
            <w:noWrap/>
            <w:vAlign w:val="bottom"/>
            <w:hideMark/>
          </w:tcPr>
          <w:p w14:paraId="13E693D5" w14:textId="77777777" w:rsidR="002F3A52" w:rsidRPr="00B14C47" w:rsidRDefault="00D54AF6" w:rsidP="00A73ED9">
            <w:pPr>
              <w:jc w:val="center"/>
              <w:rPr>
                <w:rFonts w:ascii="Arial" w:hAnsi="Arial" w:cs="Arial"/>
                <w:sz w:val="20"/>
                <w:lang w:eastAsia="bg-BG"/>
              </w:rPr>
            </w:pPr>
            <w:r w:rsidRPr="00B14C47">
              <w:rPr>
                <w:rFonts w:ascii="Arial" w:hAnsi="Arial" w:cs="Arial"/>
                <w:sz w:val="20"/>
                <w:lang w:eastAsia="bg-BG"/>
              </w:rPr>
              <w:t>1</w:t>
            </w:r>
          </w:p>
        </w:tc>
        <w:tc>
          <w:tcPr>
            <w:tcW w:w="1046" w:type="pct"/>
            <w:tcBorders>
              <w:top w:val="single" w:sz="4" w:space="0" w:color="auto"/>
              <w:left w:val="nil"/>
              <w:bottom w:val="single" w:sz="4" w:space="0" w:color="auto"/>
              <w:right w:val="single" w:sz="4" w:space="0" w:color="auto"/>
            </w:tcBorders>
            <w:shd w:val="clear" w:color="000000" w:fill="FFFFFF"/>
            <w:vAlign w:val="bottom"/>
          </w:tcPr>
          <w:p w14:paraId="0FC1FE11" w14:textId="77777777" w:rsidR="002F3A52" w:rsidRPr="00B14C47" w:rsidRDefault="001039F1" w:rsidP="00A73ED9">
            <w:pPr>
              <w:jc w:val="center"/>
              <w:rPr>
                <w:rFonts w:ascii="Arial" w:hAnsi="Arial" w:cs="Arial"/>
                <w:sz w:val="20"/>
                <w:lang w:eastAsia="bg-BG"/>
              </w:rPr>
            </w:pPr>
            <w:r w:rsidRPr="00B14C47">
              <w:rPr>
                <w:rFonts w:ascii="Arial" w:hAnsi="Arial" w:cs="Arial"/>
                <w:sz w:val="20"/>
                <w:lang w:eastAsia="bg-BG"/>
              </w:rPr>
              <w:t>1</w:t>
            </w:r>
          </w:p>
        </w:tc>
      </w:tr>
      <w:tr w:rsidR="002F3A52" w:rsidRPr="00B14C47" w14:paraId="1C97068F" w14:textId="77777777" w:rsidTr="003833F6">
        <w:trPr>
          <w:trHeight w:val="255"/>
        </w:trPr>
        <w:tc>
          <w:tcPr>
            <w:tcW w:w="2847" w:type="pct"/>
            <w:tcBorders>
              <w:top w:val="nil"/>
              <w:left w:val="single" w:sz="4" w:space="0" w:color="auto"/>
              <w:bottom w:val="single" w:sz="4" w:space="0" w:color="auto"/>
              <w:right w:val="single" w:sz="4" w:space="0" w:color="auto"/>
            </w:tcBorders>
            <w:shd w:val="clear" w:color="000000" w:fill="FFFFFF"/>
            <w:noWrap/>
            <w:vAlign w:val="bottom"/>
            <w:hideMark/>
          </w:tcPr>
          <w:p w14:paraId="4C47D032" w14:textId="77777777" w:rsidR="002F3A52" w:rsidRPr="00B14C47" w:rsidRDefault="002F3A52" w:rsidP="002F3A52">
            <w:pPr>
              <w:jc w:val="left"/>
              <w:rPr>
                <w:rFonts w:ascii="Arial" w:hAnsi="Arial" w:cs="Arial"/>
                <w:sz w:val="20"/>
                <w:lang w:eastAsia="bg-BG"/>
              </w:rPr>
            </w:pPr>
            <w:r w:rsidRPr="00B14C47">
              <w:rPr>
                <w:rFonts w:ascii="Arial" w:hAnsi="Arial" w:cs="Arial"/>
                <w:sz w:val="20"/>
                <w:lang w:eastAsia="bg-BG"/>
              </w:rPr>
              <w:t>Отсрочени данъчни пасиви</w:t>
            </w:r>
          </w:p>
        </w:tc>
        <w:tc>
          <w:tcPr>
            <w:tcW w:w="1108" w:type="pct"/>
            <w:tcBorders>
              <w:top w:val="nil"/>
              <w:left w:val="nil"/>
              <w:bottom w:val="single" w:sz="4" w:space="0" w:color="auto"/>
              <w:right w:val="single" w:sz="4" w:space="0" w:color="auto"/>
            </w:tcBorders>
            <w:shd w:val="clear" w:color="000000" w:fill="FFFFFF"/>
            <w:noWrap/>
            <w:vAlign w:val="bottom"/>
            <w:hideMark/>
          </w:tcPr>
          <w:p w14:paraId="7A0ADBC9" w14:textId="77777777" w:rsidR="002F3A52" w:rsidRPr="00B14C47" w:rsidRDefault="002F3A52" w:rsidP="00A73ED9">
            <w:pPr>
              <w:jc w:val="center"/>
              <w:rPr>
                <w:rFonts w:ascii="Arial" w:hAnsi="Arial" w:cs="Arial"/>
                <w:sz w:val="20"/>
                <w:lang w:eastAsia="bg-BG"/>
              </w:rPr>
            </w:pPr>
            <w:r w:rsidRPr="00B14C47">
              <w:rPr>
                <w:rFonts w:ascii="Arial" w:hAnsi="Arial" w:cs="Arial"/>
                <w:sz w:val="20"/>
                <w:lang w:eastAsia="bg-BG"/>
              </w:rPr>
              <w:t>-</w:t>
            </w:r>
          </w:p>
        </w:tc>
        <w:tc>
          <w:tcPr>
            <w:tcW w:w="1046" w:type="pct"/>
            <w:tcBorders>
              <w:top w:val="single" w:sz="4" w:space="0" w:color="auto"/>
              <w:left w:val="nil"/>
              <w:bottom w:val="single" w:sz="4" w:space="0" w:color="auto"/>
              <w:right w:val="single" w:sz="4" w:space="0" w:color="auto"/>
            </w:tcBorders>
            <w:shd w:val="clear" w:color="000000" w:fill="FFFFFF"/>
            <w:vAlign w:val="bottom"/>
          </w:tcPr>
          <w:p w14:paraId="0D9EB51E" w14:textId="77777777" w:rsidR="002F3A52" w:rsidRPr="00B14C47" w:rsidRDefault="001039F1" w:rsidP="00A73ED9">
            <w:pPr>
              <w:jc w:val="center"/>
              <w:rPr>
                <w:rFonts w:ascii="Arial" w:hAnsi="Arial" w:cs="Arial"/>
                <w:sz w:val="20"/>
                <w:lang w:eastAsia="bg-BG"/>
              </w:rPr>
            </w:pPr>
            <w:r w:rsidRPr="00B14C47">
              <w:rPr>
                <w:rFonts w:ascii="Arial" w:hAnsi="Arial" w:cs="Arial"/>
                <w:sz w:val="20"/>
                <w:lang w:eastAsia="bg-BG"/>
              </w:rPr>
              <w:t>-</w:t>
            </w:r>
          </w:p>
        </w:tc>
      </w:tr>
      <w:tr w:rsidR="002F3A52" w:rsidRPr="00B14C47" w14:paraId="7053FE88" w14:textId="77777777" w:rsidTr="003833F6">
        <w:trPr>
          <w:trHeight w:val="315"/>
        </w:trPr>
        <w:tc>
          <w:tcPr>
            <w:tcW w:w="2847" w:type="pct"/>
            <w:tcBorders>
              <w:top w:val="nil"/>
              <w:left w:val="single" w:sz="4" w:space="0" w:color="auto"/>
              <w:bottom w:val="single" w:sz="4" w:space="0" w:color="auto"/>
              <w:right w:val="single" w:sz="4" w:space="0" w:color="auto"/>
            </w:tcBorders>
            <w:shd w:val="clear" w:color="auto" w:fill="00B0F0"/>
            <w:noWrap/>
            <w:vAlign w:val="bottom"/>
            <w:hideMark/>
          </w:tcPr>
          <w:p w14:paraId="68E35A70" w14:textId="77777777" w:rsidR="002F3A52" w:rsidRPr="00B14C47" w:rsidRDefault="002F3A52" w:rsidP="002F3A52">
            <w:pPr>
              <w:jc w:val="left"/>
              <w:rPr>
                <w:rFonts w:ascii="Arial" w:hAnsi="Arial" w:cs="Arial"/>
                <w:b/>
                <w:bCs/>
                <w:sz w:val="20"/>
                <w:lang w:eastAsia="bg-BG"/>
              </w:rPr>
            </w:pPr>
            <w:r w:rsidRPr="00B14C47">
              <w:rPr>
                <w:rFonts w:ascii="Arial" w:hAnsi="Arial" w:cs="Arial"/>
                <w:b/>
                <w:bCs/>
                <w:sz w:val="20"/>
                <w:lang w:eastAsia="bg-BG"/>
              </w:rPr>
              <w:t>Отсрочени данъци (нето)</w:t>
            </w:r>
          </w:p>
        </w:tc>
        <w:tc>
          <w:tcPr>
            <w:tcW w:w="1108" w:type="pct"/>
            <w:tcBorders>
              <w:top w:val="nil"/>
              <w:left w:val="nil"/>
              <w:bottom w:val="single" w:sz="4" w:space="0" w:color="auto"/>
              <w:right w:val="single" w:sz="4" w:space="0" w:color="auto"/>
            </w:tcBorders>
            <w:shd w:val="clear" w:color="auto" w:fill="00B0F0"/>
            <w:noWrap/>
            <w:vAlign w:val="bottom"/>
            <w:hideMark/>
          </w:tcPr>
          <w:p w14:paraId="75116741" w14:textId="77777777" w:rsidR="002F3A52" w:rsidRPr="00B14C47" w:rsidRDefault="00D54AF6" w:rsidP="00A73ED9">
            <w:pPr>
              <w:jc w:val="center"/>
              <w:rPr>
                <w:rFonts w:ascii="Arial" w:hAnsi="Arial" w:cs="Arial"/>
                <w:b/>
                <w:bCs/>
                <w:sz w:val="20"/>
                <w:lang w:eastAsia="bg-BG"/>
              </w:rPr>
            </w:pPr>
            <w:r w:rsidRPr="00B14C47">
              <w:rPr>
                <w:rFonts w:ascii="Arial" w:hAnsi="Arial" w:cs="Arial"/>
                <w:b/>
                <w:bCs/>
                <w:sz w:val="20"/>
                <w:lang w:eastAsia="bg-BG"/>
              </w:rPr>
              <w:t>1</w:t>
            </w:r>
          </w:p>
        </w:tc>
        <w:tc>
          <w:tcPr>
            <w:tcW w:w="1046" w:type="pct"/>
            <w:tcBorders>
              <w:top w:val="single" w:sz="4" w:space="0" w:color="auto"/>
              <w:left w:val="nil"/>
              <w:bottom w:val="single" w:sz="4" w:space="0" w:color="auto"/>
              <w:right w:val="single" w:sz="4" w:space="0" w:color="auto"/>
            </w:tcBorders>
            <w:shd w:val="clear" w:color="auto" w:fill="00B0F0"/>
            <w:vAlign w:val="bottom"/>
          </w:tcPr>
          <w:p w14:paraId="37B33062" w14:textId="77777777" w:rsidR="002F3A52" w:rsidRPr="00B14C47" w:rsidRDefault="001039F1" w:rsidP="00A73ED9">
            <w:pPr>
              <w:jc w:val="center"/>
              <w:rPr>
                <w:rFonts w:ascii="Arial" w:hAnsi="Arial" w:cs="Arial"/>
                <w:b/>
                <w:bCs/>
                <w:sz w:val="20"/>
                <w:lang w:eastAsia="bg-BG"/>
              </w:rPr>
            </w:pPr>
            <w:r w:rsidRPr="00B14C47">
              <w:rPr>
                <w:rFonts w:ascii="Arial" w:hAnsi="Arial" w:cs="Arial"/>
                <w:b/>
                <w:bCs/>
                <w:sz w:val="20"/>
                <w:lang w:eastAsia="bg-BG"/>
              </w:rPr>
              <w:t>1</w:t>
            </w:r>
          </w:p>
        </w:tc>
      </w:tr>
    </w:tbl>
    <w:p w14:paraId="6158ACED" w14:textId="77777777" w:rsidR="002F3A52" w:rsidRPr="009F00E2" w:rsidRDefault="002F3A52" w:rsidP="00B66DF8">
      <w:pPr>
        <w:rPr>
          <w:rFonts w:ascii="Arial" w:hAnsi="Arial" w:cs="Arial"/>
          <w:b/>
          <w:sz w:val="20"/>
        </w:rPr>
      </w:pPr>
    </w:p>
    <w:p w14:paraId="2551D1D0" w14:textId="593007F9" w:rsidR="003008BE" w:rsidRPr="00A80B93" w:rsidRDefault="00D54AF6" w:rsidP="00A80B93">
      <w:pPr>
        <w:rPr>
          <w:rFonts w:ascii="Arial" w:hAnsi="Arial" w:cs="Arial"/>
          <w:sz w:val="20"/>
        </w:rPr>
      </w:pPr>
      <w:r w:rsidRPr="00B14C47">
        <w:rPr>
          <w:rFonts w:ascii="Arial" w:hAnsi="Arial" w:cs="Arial"/>
          <w:sz w:val="20"/>
        </w:rPr>
        <w:t>Поради липса на достатъчно сигурност доколко ще има обратно проявление от печалби, които ще реализира Дружеството в следващи години, не е признат отсрочен данъчен актив за данъчна загуба и обезценки на дъщерни предприятия</w:t>
      </w:r>
      <w:r w:rsidR="00A80B93">
        <w:rPr>
          <w:rFonts w:ascii="Arial" w:hAnsi="Arial" w:cs="Arial"/>
          <w:sz w:val="20"/>
        </w:rPr>
        <w:t>.</w:t>
      </w:r>
    </w:p>
    <w:p w14:paraId="4EEAD3AE" w14:textId="77777777" w:rsidR="00B66DF8" w:rsidRPr="00B14C47" w:rsidRDefault="00B66DF8" w:rsidP="00B66DF8">
      <w:pPr>
        <w:pStyle w:val="Heading3"/>
        <w:rPr>
          <w:rFonts w:ascii="Arial" w:hAnsi="Arial" w:cs="Arial"/>
          <w:u w:val="single"/>
        </w:rPr>
      </w:pPr>
      <w:bookmarkStart w:id="136" w:name="_Toc164268375"/>
      <w:r w:rsidRPr="00B14C47">
        <w:rPr>
          <w:rFonts w:ascii="Arial" w:hAnsi="Arial" w:cs="Arial"/>
          <w:u w:val="single"/>
          <w:lang w:val="bg-BG"/>
        </w:rPr>
        <w:t>Текущи активи</w:t>
      </w:r>
      <w:bookmarkEnd w:id="136"/>
    </w:p>
    <w:p w14:paraId="6E390606" w14:textId="341E9322" w:rsidR="00896259" w:rsidRDefault="00D54AF6" w:rsidP="006D649B">
      <w:pPr>
        <w:pStyle w:val="Heading4"/>
        <w:rPr>
          <w:rFonts w:ascii="Arial" w:hAnsi="Arial" w:cs="Arial"/>
          <w:lang w:val="bg-BG"/>
        </w:rPr>
      </w:pPr>
      <w:bookmarkStart w:id="137" w:name="_Toc43188491"/>
      <w:bookmarkStart w:id="138" w:name="_Toc164268376"/>
      <w:r w:rsidRPr="00B14C47">
        <w:rPr>
          <w:rFonts w:ascii="Arial" w:hAnsi="Arial" w:cs="Arial"/>
          <w:lang w:val="bg-BG"/>
        </w:rPr>
        <w:t>2.3 Други текущи финансови активи</w:t>
      </w:r>
      <w:bookmarkEnd w:id="137"/>
      <w:bookmarkEnd w:id="138"/>
    </w:p>
    <w:p w14:paraId="5FC973DD" w14:textId="77777777" w:rsidR="00C64C55" w:rsidRDefault="00C64C55" w:rsidP="00C64C55"/>
    <w:tbl>
      <w:tblPr>
        <w:tblW w:w="5000" w:type="pct"/>
        <w:tblCellMar>
          <w:left w:w="70" w:type="dxa"/>
          <w:right w:w="70" w:type="dxa"/>
        </w:tblCellMar>
        <w:tblLook w:val="04A0" w:firstRow="1" w:lastRow="0" w:firstColumn="1" w:lastColumn="0" w:noHBand="0" w:noVBand="1"/>
      </w:tblPr>
      <w:tblGrid>
        <w:gridCol w:w="5658"/>
        <w:gridCol w:w="1919"/>
        <w:gridCol w:w="2030"/>
      </w:tblGrid>
      <w:tr w:rsidR="00C64C55" w:rsidRPr="00C64C55" w14:paraId="72EB5F92" w14:textId="77777777" w:rsidTr="00C64C55">
        <w:trPr>
          <w:trHeight w:val="255"/>
        </w:trPr>
        <w:tc>
          <w:tcPr>
            <w:tcW w:w="3089" w:type="pct"/>
            <w:tcBorders>
              <w:top w:val="single" w:sz="4" w:space="0" w:color="auto"/>
              <w:left w:val="single" w:sz="4" w:space="0" w:color="auto"/>
              <w:bottom w:val="nil"/>
              <w:right w:val="nil"/>
            </w:tcBorders>
            <w:shd w:val="clear" w:color="000000" w:fill="FFFFFF"/>
            <w:vAlign w:val="center"/>
            <w:hideMark/>
          </w:tcPr>
          <w:p w14:paraId="24CF6722"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Текущи финансови активи</w:t>
            </w:r>
          </w:p>
        </w:tc>
        <w:tc>
          <w:tcPr>
            <w:tcW w:w="9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44F54"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30.06.2024 г</w:t>
            </w:r>
          </w:p>
        </w:tc>
        <w:tc>
          <w:tcPr>
            <w:tcW w:w="974" w:type="pct"/>
            <w:tcBorders>
              <w:top w:val="single" w:sz="4" w:space="0" w:color="auto"/>
              <w:left w:val="nil"/>
              <w:bottom w:val="single" w:sz="4" w:space="0" w:color="auto"/>
              <w:right w:val="single" w:sz="4" w:space="0" w:color="auto"/>
            </w:tcBorders>
            <w:shd w:val="clear" w:color="000000" w:fill="FFFFFF"/>
            <w:noWrap/>
            <w:vAlign w:val="center"/>
            <w:hideMark/>
          </w:tcPr>
          <w:p w14:paraId="77542A65"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31.12.2023</w:t>
            </w:r>
          </w:p>
        </w:tc>
      </w:tr>
      <w:tr w:rsidR="00C64C55" w:rsidRPr="00C64C55" w14:paraId="46E47F59" w14:textId="77777777" w:rsidTr="00C64C55">
        <w:trPr>
          <w:trHeight w:val="510"/>
        </w:trPr>
        <w:tc>
          <w:tcPr>
            <w:tcW w:w="3089" w:type="pct"/>
            <w:tcBorders>
              <w:top w:val="nil"/>
              <w:left w:val="single" w:sz="4" w:space="0" w:color="auto"/>
              <w:bottom w:val="single" w:sz="4" w:space="0" w:color="auto"/>
              <w:right w:val="nil"/>
            </w:tcBorders>
            <w:shd w:val="clear" w:color="000000" w:fill="FFFFFF"/>
            <w:vAlign w:val="bottom"/>
            <w:hideMark/>
          </w:tcPr>
          <w:p w14:paraId="4ABE600C"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Финансови активи, дългови инструменти, отчитани по амортизирана стойност</w:t>
            </w:r>
          </w:p>
        </w:tc>
        <w:tc>
          <w:tcPr>
            <w:tcW w:w="937" w:type="pct"/>
            <w:tcBorders>
              <w:top w:val="nil"/>
              <w:left w:val="single" w:sz="4" w:space="0" w:color="auto"/>
              <w:bottom w:val="single" w:sz="4" w:space="0" w:color="auto"/>
              <w:right w:val="single" w:sz="4" w:space="0" w:color="auto"/>
            </w:tcBorders>
            <w:shd w:val="clear" w:color="000000" w:fill="FFFFFF"/>
            <w:noWrap/>
            <w:vAlign w:val="bottom"/>
            <w:hideMark/>
          </w:tcPr>
          <w:p w14:paraId="04777784"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125 </w:t>
            </w:r>
          </w:p>
        </w:tc>
        <w:tc>
          <w:tcPr>
            <w:tcW w:w="974" w:type="pct"/>
            <w:tcBorders>
              <w:top w:val="nil"/>
              <w:left w:val="nil"/>
              <w:bottom w:val="single" w:sz="4" w:space="0" w:color="auto"/>
              <w:right w:val="single" w:sz="4" w:space="0" w:color="auto"/>
            </w:tcBorders>
            <w:shd w:val="clear" w:color="000000" w:fill="FFFFFF"/>
            <w:noWrap/>
            <w:vAlign w:val="bottom"/>
            <w:hideMark/>
          </w:tcPr>
          <w:p w14:paraId="7630BD8B"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114 </w:t>
            </w:r>
          </w:p>
        </w:tc>
      </w:tr>
      <w:tr w:rsidR="00C64C55" w:rsidRPr="00C64C55" w14:paraId="5C70C53B" w14:textId="77777777" w:rsidTr="00C64C55">
        <w:trPr>
          <w:trHeight w:val="510"/>
        </w:trPr>
        <w:tc>
          <w:tcPr>
            <w:tcW w:w="3089" w:type="pct"/>
            <w:tcBorders>
              <w:top w:val="nil"/>
              <w:left w:val="single" w:sz="4" w:space="0" w:color="auto"/>
              <w:bottom w:val="single" w:sz="4" w:space="0" w:color="auto"/>
              <w:right w:val="nil"/>
            </w:tcBorders>
            <w:shd w:val="clear" w:color="000000" w:fill="FFFFFF"/>
            <w:vAlign w:val="bottom"/>
            <w:hideMark/>
          </w:tcPr>
          <w:p w14:paraId="46F64AEE"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Финансови активи, дългови инструменти, отчитани по справедлива стойност през печалбата или загубата</w:t>
            </w:r>
          </w:p>
        </w:tc>
        <w:tc>
          <w:tcPr>
            <w:tcW w:w="937" w:type="pct"/>
            <w:tcBorders>
              <w:top w:val="nil"/>
              <w:left w:val="single" w:sz="4" w:space="0" w:color="auto"/>
              <w:bottom w:val="single" w:sz="4" w:space="0" w:color="auto"/>
              <w:right w:val="single" w:sz="4" w:space="0" w:color="auto"/>
            </w:tcBorders>
            <w:shd w:val="clear" w:color="000000" w:fill="FFFFFF"/>
            <w:noWrap/>
            <w:vAlign w:val="bottom"/>
            <w:hideMark/>
          </w:tcPr>
          <w:p w14:paraId="71A55EE1"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10 018 </w:t>
            </w:r>
          </w:p>
        </w:tc>
        <w:tc>
          <w:tcPr>
            <w:tcW w:w="974" w:type="pct"/>
            <w:tcBorders>
              <w:top w:val="nil"/>
              <w:left w:val="nil"/>
              <w:bottom w:val="single" w:sz="4" w:space="0" w:color="auto"/>
              <w:right w:val="single" w:sz="4" w:space="0" w:color="auto"/>
            </w:tcBorders>
            <w:shd w:val="clear" w:color="000000" w:fill="FFFFFF"/>
            <w:noWrap/>
            <w:vAlign w:val="bottom"/>
            <w:hideMark/>
          </w:tcPr>
          <w:p w14:paraId="7035D672"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9 952 </w:t>
            </w:r>
          </w:p>
        </w:tc>
      </w:tr>
      <w:tr w:rsidR="00C64C55" w:rsidRPr="00C64C55" w14:paraId="1B062DDD" w14:textId="77777777" w:rsidTr="00C64C55">
        <w:trPr>
          <w:trHeight w:val="255"/>
        </w:trPr>
        <w:tc>
          <w:tcPr>
            <w:tcW w:w="3089" w:type="pct"/>
            <w:tcBorders>
              <w:top w:val="nil"/>
              <w:left w:val="single" w:sz="4" w:space="0" w:color="auto"/>
              <w:bottom w:val="single" w:sz="4" w:space="0" w:color="auto"/>
              <w:right w:val="nil"/>
            </w:tcBorders>
            <w:shd w:val="clear" w:color="000000" w:fill="00AEEF"/>
            <w:noWrap/>
            <w:vAlign w:val="bottom"/>
            <w:hideMark/>
          </w:tcPr>
          <w:p w14:paraId="6D4B3EF9"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Общо</w:t>
            </w:r>
          </w:p>
        </w:tc>
        <w:tc>
          <w:tcPr>
            <w:tcW w:w="937" w:type="pct"/>
            <w:tcBorders>
              <w:top w:val="nil"/>
              <w:left w:val="single" w:sz="4" w:space="0" w:color="auto"/>
              <w:bottom w:val="single" w:sz="4" w:space="0" w:color="auto"/>
              <w:right w:val="nil"/>
            </w:tcBorders>
            <w:shd w:val="clear" w:color="000000" w:fill="00AEEF"/>
            <w:noWrap/>
            <w:vAlign w:val="bottom"/>
            <w:hideMark/>
          </w:tcPr>
          <w:p w14:paraId="7ABBCECA"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 xml:space="preserve">                     10 143 </w:t>
            </w:r>
          </w:p>
        </w:tc>
        <w:tc>
          <w:tcPr>
            <w:tcW w:w="974" w:type="pct"/>
            <w:tcBorders>
              <w:top w:val="nil"/>
              <w:left w:val="single" w:sz="4" w:space="0" w:color="auto"/>
              <w:bottom w:val="single" w:sz="4" w:space="0" w:color="auto"/>
              <w:right w:val="single" w:sz="4" w:space="0" w:color="auto"/>
            </w:tcBorders>
            <w:shd w:val="clear" w:color="000000" w:fill="00AEEF"/>
            <w:noWrap/>
            <w:vAlign w:val="bottom"/>
            <w:hideMark/>
          </w:tcPr>
          <w:p w14:paraId="11F910CC"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 xml:space="preserve">                       10 066 </w:t>
            </w:r>
          </w:p>
        </w:tc>
      </w:tr>
    </w:tbl>
    <w:p w14:paraId="4E6EC2CC" w14:textId="77777777" w:rsidR="00C64C55" w:rsidRPr="00C64C55" w:rsidRDefault="00C64C55" w:rsidP="00C64C55"/>
    <w:tbl>
      <w:tblPr>
        <w:tblW w:w="5000" w:type="pct"/>
        <w:tblCellMar>
          <w:left w:w="70" w:type="dxa"/>
          <w:right w:w="70" w:type="dxa"/>
        </w:tblCellMar>
        <w:tblLook w:val="04A0" w:firstRow="1" w:lastRow="0" w:firstColumn="1" w:lastColumn="0" w:noHBand="0" w:noVBand="1"/>
      </w:tblPr>
      <w:tblGrid>
        <w:gridCol w:w="5714"/>
        <w:gridCol w:w="1919"/>
        <w:gridCol w:w="1974"/>
      </w:tblGrid>
      <w:tr w:rsidR="00C64C55" w:rsidRPr="00C64C55" w14:paraId="2D201458" w14:textId="77777777" w:rsidTr="00C64C55">
        <w:trPr>
          <w:trHeight w:val="263"/>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7A41106D"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Финансови активи, дългови инструменти, отчитани по амортизирана стойност - текущи</w:t>
            </w:r>
          </w:p>
        </w:tc>
      </w:tr>
      <w:tr w:rsidR="00C64C55" w:rsidRPr="00C64C55" w14:paraId="3D1D417E" w14:textId="77777777" w:rsidTr="00C64C55">
        <w:trPr>
          <w:trHeight w:val="263"/>
        </w:trPr>
        <w:tc>
          <w:tcPr>
            <w:tcW w:w="3235" w:type="pct"/>
            <w:tcBorders>
              <w:top w:val="nil"/>
              <w:left w:val="single" w:sz="4" w:space="0" w:color="auto"/>
              <w:bottom w:val="single" w:sz="4" w:space="0" w:color="auto"/>
              <w:right w:val="nil"/>
            </w:tcBorders>
            <w:shd w:val="clear" w:color="000000" w:fill="FFFFFF"/>
            <w:noWrap/>
            <w:vAlign w:val="bottom"/>
            <w:hideMark/>
          </w:tcPr>
          <w:p w14:paraId="42B9396D"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Вид</w:t>
            </w:r>
          </w:p>
        </w:tc>
        <w:tc>
          <w:tcPr>
            <w:tcW w:w="869" w:type="pct"/>
            <w:tcBorders>
              <w:top w:val="nil"/>
              <w:left w:val="single" w:sz="4" w:space="0" w:color="auto"/>
              <w:bottom w:val="single" w:sz="4" w:space="0" w:color="auto"/>
              <w:right w:val="single" w:sz="4" w:space="0" w:color="auto"/>
            </w:tcBorders>
            <w:shd w:val="clear" w:color="000000" w:fill="FFFFFF"/>
            <w:noWrap/>
            <w:vAlign w:val="center"/>
            <w:hideMark/>
          </w:tcPr>
          <w:p w14:paraId="56DCF30C"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30.06.2024 г</w:t>
            </w:r>
          </w:p>
        </w:tc>
        <w:tc>
          <w:tcPr>
            <w:tcW w:w="896" w:type="pct"/>
            <w:tcBorders>
              <w:top w:val="nil"/>
              <w:left w:val="nil"/>
              <w:bottom w:val="single" w:sz="4" w:space="0" w:color="auto"/>
              <w:right w:val="single" w:sz="4" w:space="0" w:color="auto"/>
            </w:tcBorders>
            <w:shd w:val="clear" w:color="000000" w:fill="FFFFFF"/>
            <w:noWrap/>
            <w:vAlign w:val="center"/>
            <w:hideMark/>
          </w:tcPr>
          <w:p w14:paraId="7564F523"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31.12.2023 г.</w:t>
            </w:r>
          </w:p>
        </w:tc>
      </w:tr>
      <w:tr w:rsidR="00C64C55" w:rsidRPr="00C64C55" w14:paraId="4FFEB54D" w14:textId="77777777" w:rsidTr="00C64C55">
        <w:trPr>
          <w:trHeight w:val="255"/>
        </w:trPr>
        <w:tc>
          <w:tcPr>
            <w:tcW w:w="3235" w:type="pct"/>
            <w:tcBorders>
              <w:top w:val="nil"/>
              <w:left w:val="single" w:sz="4" w:space="0" w:color="auto"/>
              <w:bottom w:val="single" w:sz="4" w:space="0" w:color="auto"/>
              <w:right w:val="nil"/>
            </w:tcBorders>
            <w:shd w:val="clear" w:color="000000" w:fill="FFFFFF"/>
            <w:vAlign w:val="bottom"/>
            <w:hideMark/>
          </w:tcPr>
          <w:p w14:paraId="26664954"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Кредити и заеми, отчитани по амортизирана стойност</w:t>
            </w:r>
          </w:p>
        </w:tc>
        <w:tc>
          <w:tcPr>
            <w:tcW w:w="869" w:type="pct"/>
            <w:tcBorders>
              <w:top w:val="nil"/>
              <w:left w:val="single" w:sz="4" w:space="0" w:color="auto"/>
              <w:bottom w:val="single" w:sz="4" w:space="0" w:color="auto"/>
              <w:right w:val="nil"/>
            </w:tcBorders>
            <w:shd w:val="clear" w:color="000000" w:fill="FFFFFF"/>
            <w:noWrap/>
            <w:vAlign w:val="bottom"/>
            <w:hideMark/>
          </w:tcPr>
          <w:p w14:paraId="3D17EB17"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125 </w:t>
            </w:r>
          </w:p>
        </w:tc>
        <w:tc>
          <w:tcPr>
            <w:tcW w:w="896" w:type="pct"/>
            <w:tcBorders>
              <w:top w:val="nil"/>
              <w:left w:val="single" w:sz="4" w:space="0" w:color="auto"/>
              <w:bottom w:val="single" w:sz="4" w:space="0" w:color="auto"/>
              <w:right w:val="single" w:sz="4" w:space="0" w:color="auto"/>
            </w:tcBorders>
            <w:shd w:val="clear" w:color="000000" w:fill="FFFFFF"/>
            <w:noWrap/>
            <w:vAlign w:val="bottom"/>
            <w:hideMark/>
          </w:tcPr>
          <w:p w14:paraId="59A2A772"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114 </w:t>
            </w:r>
          </w:p>
        </w:tc>
      </w:tr>
      <w:tr w:rsidR="00C64C55" w:rsidRPr="00C64C55" w14:paraId="38B5D8CA" w14:textId="77777777" w:rsidTr="00C64C55">
        <w:trPr>
          <w:trHeight w:val="255"/>
        </w:trPr>
        <w:tc>
          <w:tcPr>
            <w:tcW w:w="3235" w:type="pct"/>
            <w:tcBorders>
              <w:top w:val="nil"/>
              <w:left w:val="single" w:sz="4" w:space="0" w:color="auto"/>
              <w:bottom w:val="single" w:sz="4" w:space="0" w:color="auto"/>
              <w:right w:val="nil"/>
            </w:tcBorders>
            <w:shd w:val="clear" w:color="000000" w:fill="00AEEF"/>
            <w:noWrap/>
            <w:vAlign w:val="bottom"/>
            <w:hideMark/>
          </w:tcPr>
          <w:p w14:paraId="797E3298"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Общо</w:t>
            </w:r>
          </w:p>
        </w:tc>
        <w:tc>
          <w:tcPr>
            <w:tcW w:w="869" w:type="pct"/>
            <w:tcBorders>
              <w:top w:val="nil"/>
              <w:left w:val="single" w:sz="4" w:space="0" w:color="auto"/>
              <w:bottom w:val="single" w:sz="4" w:space="0" w:color="auto"/>
              <w:right w:val="nil"/>
            </w:tcBorders>
            <w:shd w:val="clear" w:color="000000" w:fill="00AEEF"/>
            <w:noWrap/>
            <w:vAlign w:val="bottom"/>
            <w:hideMark/>
          </w:tcPr>
          <w:p w14:paraId="7967F96F"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 xml:space="preserve">                          125 </w:t>
            </w:r>
          </w:p>
        </w:tc>
        <w:tc>
          <w:tcPr>
            <w:tcW w:w="896" w:type="pct"/>
            <w:tcBorders>
              <w:top w:val="nil"/>
              <w:left w:val="single" w:sz="4" w:space="0" w:color="auto"/>
              <w:bottom w:val="single" w:sz="4" w:space="0" w:color="auto"/>
              <w:right w:val="single" w:sz="4" w:space="0" w:color="auto"/>
            </w:tcBorders>
            <w:shd w:val="clear" w:color="000000" w:fill="00AEEF"/>
            <w:noWrap/>
            <w:vAlign w:val="bottom"/>
            <w:hideMark/>
          </w:tcPr>
          <w:p w14:paraId="24D92038"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 xml:space="preserve">                           114 </w:t>
            </w:r>
          </w:p>
        </w:tc>
      </w:tr>
    </w:tbl>
    <w:p w14:paraId="09C54823" w14:textId="77777777" w:rsidR="00CA29CF" w:rsidRDefault="00CA29CF" w:rsidP="00896259"/>
    <w:p w14:paraId="3406C4DD" w14:textId="77777777" w:rsidR="00C64C55" w:rsidRDefault="00C64C55" w:rsidP="00896259"/>
    <w:tbl>
      <w:tblPr>
        <w:tblW w:w="5000" w:type="pct"/>
        <w:tblCellMar>
          <w:left w:w="70" w:type="dxa"/>
          <w:right w:w="70" w:type="dxa"/>
        </w:tblCellMar>
        <w:tblLook w:val="04A0" w:firstRow="1" w:lastRow="0" w:firstColumn="1" w:lastColumn="0" w:noHBand="0" w:noVBand="1"/>
      </w:tblPr>
      <w:tblGrid>
        <w:gridCol w:w="5614"/>
        <w:gridCol w:w="1941"/>
        <w:gridCol w:w="2052"/>
      </w:tblGrid>
      <w:tr w:rsidR="00C64C55" w:rsidRPr="00C64C55" w14:paraId="4E78D9E2" w14:textId="77777777" w:rsidTr="00C64C55">
        <w:trPr>
          <w:trHeight w:val="263"/>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3F698750"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Кредити и заеми, отчитани по амортизирана стойност - текущи</w:t>
            </w:r>
          </w:p>
        </w:tc>
      </w:tr>
      <w:tr w:rsidR="00C64C55" w:rsidRPr="00C64C55" w14:paraId="670EA8CE" w14:textId="77777777" w:rsidTr="00C64C55">
        <w:trPr>
          <w:trHeight w:val="263"/>
        </w:trPr>
        <w:tc>
          <w:tcPr>
            <w:tcW w:w="3206" w:type="pct"/>
            <w:tcBorders>
              <w:top w:val="nil"/>
              <w:left w:val="single" w:sz="4" w:space="0" w:color="auto"/>
              <w:bottom w:val="single" w:sz="4" w:space="0" w:color="auto"/>
              <w:right w:val="nil"/>
            </w:tcBorders>
            <w:shd w:val="clear" w:color="000000" w:fill="FFFFFF"/>
            <w:noWrap/>
            <w:vAlign w:val="bottom"/>
            <w:hideMark/>
          </w:tcPr>
          <w:p w14:paraId="0D4B9A6E"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Вид</w:t>
            </w:r>
          </w:p>
        </w:tc>
        <w:tc>
          <w:tcPr>
            <w:tcW w:w="872" w:type="pct"/>
            <w:tcBorders>
              <w:top w:val="nil"/>
              <w:left w:val="single" w:sz="4" w:space="0" w:color="auto"/>
              <w:bottom w:val="single" w:sz="4" w:space="0" w:color="auto"/>
              <w:right w:val="single" w:sz="4" w:space="0" w:color="auto"/>
            </w:tcBorders>
            <w:shd w:val="clear" w:color="000000" w:fill="FFFFFF"/>
            <w:noWrap/>
            <w:vAlign w:val="center"/>
            <w:hideMark/>
          </w:tcPr>
          <w:p w14:paraId="287033F2"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30.06.2024 г</w:t>
            </w:r>
          </w:p>
        </w:tc>
        <w:tc>
          <w:tcPr>
            <w:tcW w:w="923" w:type="pct"/>
            <w:tcBorders>
              <w:top w:val="nil"/>
              <w:left w:val="nil"/>
              <w:bottom w:val="single" w:sz="4" w:space="0" w:color="auto"/>
              <w:right w:val="single" w:sz="4" w:space="0" w:color="auto"/>
            </w:tcBorders>
            <w:shd w:val="clear" w:color="000000" w:fill="FFFFFF"/>
            <w:noWrap/>
            <w:vAlign w:val="center"/>
            <w:hideMark/>
          </w:tcPr>
          <w:p w14:paraId="7385976A"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31.12.2023 г.</w:t>
            </w:r>
          </w:p>
        </w:tc>
      </w:tr>
      <w:tr w:rsidR="00C64C55" w:rsidRPr="00C64C55" w14:paraId="1A26B256" w14:textId="77777777" w:rsidTr="00C64C55">
        <w:trPr>
          <w:trHeight w:val="510"/>
        </w:trPr>
        <w:tc>
          <w:tcPr>
            <w:tcW w:w="3206" w:type="pct"/>
            <w:tcBorders>
              <w:top w:val="nil"/>
              <w:left w:val="single" w:sz="4" w:space="0" w:color="auto"/>
              <w:bottom w:val="single" w:sz="4" w:space="0" w:color="auto"/>
              <w:right w:val="nil"/>
            </w:tcBorders>
            <w:shd w:val="clear" w:color="000000" w:fill="FFFFFF"/>
            <w:vAlign w:val="bottom"/>
            <w:hideMark/>
          </w:tcPr>
          <w:p w14:paraId="386EC4DF"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Вземания по кредити и заеми от свързани лица в групата, в т.ч.: /нето/</w:t>
            </w:r>
          </w:p>
        </w:tc>
        <w:tc>
          <w:tcPr>
            <w:tcW w:w="872" w:type="pct"/>
            <w:tcBorders>
              <w:top w:val="nil"/>
              <w:left w:val="single" w:sz="4" w:space="0" w:color="auto"/>
              <w:bottom w:val="single" w:sz="4" w:space="0" w:color="auto"/>
              <w:right w:val="nil"/>
            </w:tcBorders>
            <w:shd w:val="clear" w:color="000000" w:fill="FFFFFF"/>
            <w:noWrap/>
            <w:vAlign w:val="bottom"/>
            <w:hideMark/>
          </w:tcPr>
          <w:p w14:paraId="0C837748"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 xml:space="preserve">                             6 </w:t>
            </w:r>
          </w:p>
        </w:tc>
        <w:tc>
          <w:tcPr>
            <w:tcW w:w="923" w:type="pct"/>
            <w:tcBorders>
              <w:top w:val="nil"/>
              <w:left w:val="single" w:sz="4" w:space="0" w:color="auto"/>
              <w:bottom w:val="single" w:sz="4" w:space="0" w:color="auto"/>
              <w:right w:val="single" w:sz="4" w:space="0" w:color="auto"/>
            </w:tcBorders>
            <w:shd w:val="clear" w:color="000000" w:fill="FFFFFF"/>
            <w:noWrap/>
            <w:vAlign w:val="bottom"/>
            <w:hideMark/>
          </w:tcPr>
          <w:p w14:paraId="2A83B796"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 xml:space="preserve">                               3 </w:t>
            </w:r>
          </w:p>
        </w:tc>
      </w:tr>
      <w:tr w:rsidR="00C64C55" w:rsidRPr="00C64C55" w14:paraId="1F69324B" w14:textId="77777777" w:rsidTr="00C64C55">
        <w:trPr>
          <w:trHeight w:val="255"/>
        </w:trPr>
        <w:tc>
          <w:tcPr>
            <w:tcW w:w="3206" w:type="pct"/>
            <w:tcBorders>
              <w:top w:val="single" w:sz="4" w:space="0" w:color="auto"/>
              <w:left w:val="single" w:sz="4" w:space="0" w:color="auto"/>
              <w:bottom w:val="single" w:sz="4" w:space="0" w:color="auto"/>
              <w:right w:val="nil"/>
            </w:tcBorders>
            <w:shd w:val="clear" w:color="000000" w:fill="FFFFFF"/>
            <w:vAlign w:val="bottom"/>
            <w:hideMark/>
          </w:tcPr>
          <w:p w14:paraId="59945399"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Вземания за главници по кредити и заеми от свързани лица в групата</w:t>
            </w:r>
          </w:p>
        </w:tc>
        <w:tc>
          <w:tcPr>
            <w:tcW w:w="872" w:type="pct"/>
            <w:tcBorders>
              <w:top w:val="single" w:sz="4" w:space="0" w:color="auto"/>
              <w:left w:val="single" w:sz="4" w:space="0" w:color="auto"/>
              <w:bottom w:val="single" w:sz="4" w:space="0" w:color="auto"/>
              <w:right w:val="nil"/>
            </w:tcBorders>
            <w:shd w:val="clear" w:color="000000" w:fill="FFFFFF"/>
            <w:noWrap/>
            <w:vAlign w:val="bottom"/>
            <w:hideMark/>
          </w:tcPr>
          <w:p w14:paraId="2A5803ED" w14:textId="77777777" w:rsidR="00C64C55" w:rsidRPr="00C64C55" w:rsidRDefault="00C64C55" w:rsidP="00C64C55">
            <w:pPr>
              <w:jc w:val="center"/>
              <w:rPr>
                <w:rFonts w:ascii="Arial" w:hAnsi="Arial" w:cs="Arial"/>
                <w:sz w:val="20"/>
                <w:lang w:eastAsia="bg-BG"/>
              </w:rPr>
            </w:pPr>
            <w:r w:rsidRPr="00C64C55">
              <w:rPr>
                <w:rFonts w:ascii="Arial" w:hAnsi="Arial" w:cs="Arial"/>
                <w:sz w:val="20"/>
                <w:lang w:eastAsia="bg-BG"/>
              </w:rPr>
              <w:t xml:space="preserve">                             6 </w:t>
            </w:r>
          </w:p>
        </w:tc>
        <w:tc>
          <w:tcPr>
            <w:tcW w:w="92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9B71CB" w14:textId="77777777" w:rsidR="00C64C55" w:rsidRPr="00C64C55" w:rsidRDefault="00C64C55" w:rsidP="00C64C55">
            <w:pPr>
              <w:jc w:val="center"/>
              <w:rPr>
                <w:rFonts w:ascii="Arial" w:hAnsi="Arial" w:cs="Arial"/>
                <w:sz w:val="20"/>
                <w:lang w:eastAsia="bg-BG"/>
              </w:rPr>
            </w:pPr>
            <w:r w:rsidRPr="00C64C55">
              <w:rPr>
                <w:rFonts w:ascii="Arial" w:hAnsi="Arial" w:cs="Arial"/>
                <w:sz w:val="20"/>
                <w:lang w:eastAsia="bg-BG"/>
              </w:rPr>
              <w:t xml:space="preserve">                               3 </w:t>
            </w:r>
          </w:p>
        </w:tc>
      </w:tr>
      <w:tr w:rsidR="00C64C55" w:rsidRPr="00C64C55" w14:paraId="2A807D20" w14:textId="77777777" w:rsidTr="00C64C55">
        <w:trPr>
          <w:trHeight w:val="510"/>
        </w:trPr>
        <w:tc>
          <w:tcPr>
            <w:tcW w:w="3206" w:type="pct"/>
            <w:tcBorders>
              <w:top w:val="nil"/>
              <w:left w:val="single" w:sz="4" w:space="0" w:color="auto"/>
              <w:bottom w:val="single" w:sz="4" w:space="0" w:color="auto"/>
              <w:right w:val="nil"/>
            </w:tcBorders>
            <w:shd w:val="clear" w:color="000000" w:fill="FFFFFF"/>
            <w:vAlign w:val="bottom"/>
            <w:hideMark/>
          </w:tcPr>
          <w:p w14:paraId="21BB2DE8"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Вземания по кредити и заеми от несвързани лица, в т.ч.: /нето/</w:t>
            </w:r>
          </w:p>
        </w:tc>
        <w:tc>
          <w:tcPr>
            <w:tcW w:w="872" w:type="pct"/>
            <w:tcBorders>
              <w:top w:val="nil"/>
              <w:left w:val="single" w:sz="4" w:space="0" w:color="auto"/>
              <w:bottom w:val="single" w:sz="4" w:space="0" w:color="auto"/>
              <w:right w:val="nil"/>
            </w:tcBorders>
            <w:shd w:val="clear" w:color="000000" w:fill="FFFFFF"/>
            <w:noWrap/>
            <w:vAlign w:val="bottom"/>
            <w:hideMark/>
          </w:tcPr>
          <w:p w14:paraId="24DCDBC6"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 xml:space="preserve">                          119 </w:t>
            </w:r>
          </w:p>
        </w:tc>
        <w:tc>
          <w:tcPr>
            <w:tcW w:w="923" w:type="pct"/>
            <w:tcBorders>
              <w:top w:val="nil"/>
              <w:left w:val="single" w:sz="4" w:space="0" w:color="auto"/>
              <w:bottom w:val="single" w:sz="4" w:space="0" w:color="auto"/>
              <w:right w:val="single" w:sz="4" w:space="0" w:color="auto"/>
            </w:tcBorders>
            <w:shd w:val="clear" w:color="000000" w:fill="FFFFFF"/>
            <w:noWrap/>
            <w:vAlign w:val="bottom"/>
            <w:hideMark/>
          </w:tcPr>
          <w:p w14:paraId="47E80123"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 xml:space="preserve">                           111 </w:t>
            </w:r>
          </w:p>
        </w:tc>
      </w:tr>
      <w:tr w:rsidR="00C64C55" w:rsidRPr="00C64C55" w14:paraId="68B561E5" w14:textId="77777777" w:rsidTr="00C64C55">
        <w:trPr>
          <w:trHeight w:val="255"/>
        </w:trPr>
        <w:tc>
          <w:tcPr>
            <w:tcW w:w="3206" w:type="pct"/>
            <w:tcBorders>
              <w:top w:val="nil"/>
              <w:left w:val="single" w:sz="4" w:space="0" w:color="auto"/>
              <w:bottom w:val="single" w:sz="4" w:space="0" w:color="auto"/>
              <w:right w:val="nil"/>
            </w:tcBorders>
            <w:shd w:val="clear" w:color="000000" w:fill="FFFFFF"/>
            <w:vAlign w:val="bottom"/>
            <w:hideMark/>
          </w:tcPr>
          <w:p w14:paraId="1E4CED33"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Вземания за главници по кредити и заеми от несвързани лица</w:t>
            </w:r>
          </w:p>
        </w:tc>
        <w:tc>
          <w:tcPr>
            <w:tcW w:w="872" w:type="pct"/>
            <w:tcBorders>
              <w:top w:val="nil"/>
              <w:left w:val="single" w:sz="4" w:space="0" w:color="auto"/>
              <w:bottom w:val="single" w:sz="4" w:space="0" w:color="auto"/>
              <w:right w:val="nil"/>
            </w:tcBorders>
            <w:shd w:val="clear" w:color="000000" w:fill="FFFFFF"/>
            <w:noWrap/>
            <w:vAlign w:val="bottom"/>
            <w:hideMark/>
          </w:tcPr>
          <w:p w14:paraId="08347654" w14:textId="77777777" w:rsidR="00C64C55" w:rsidRPr="00C64C55" w:rsidRDefault="00C64C55" w:rsidP="00C64C55">
            <w:pPr>
              <w:jc w:val="center"/>
              <w:rPr>
                <w:rFonts w:ascii="Arial" w:hAnsi="Arial" w:cs="Arial"/>
                <w:sz w:val="20"/>
                <w:lang w:eastAsia="bg-BG"/>
              </w:rPr>
            </w:pPr>
            <w:r w:rsidRPr="00C64C55">
              <w:rPr>
                <w:rFonts w:ascii="Arial" w:hAnsi="Arial" w:cs="Arial"/>
                <w:sz w:val="20"/>
                <w:lang w:eastAsia="bg-BG"/>
              </w:rPr>
              <w:t xml:space="preserve">                            68 </w:t>
            </w:r>
          </w:p>
        </w:tc>
        <w:tc>
          <w:tcPr>
            <w:tcW w:w="923" w:type="pct"/>
            <w:tcBorders>
              <w:top w:val="nil"/>
              <w:left w:val="single" w:sz="4" w:space="0" w:color="auto"/>
              <w:bottom w:val="single" w:sz="4" w:space="0" w:color="auto"/>
              <w:right w:val="nil"/>
            </w:tcBorders>
            <w:shd w:val="clear" w:color="000000" w:fill="FFFFFF"/>
            <w:noWrap/>
            <w:vAlign w:val="bottom"/>
            <w:hideMark/>
          </w:tcPr>
          <w:p w14:paraId="5FAC1BDA" w14:textId="77777777" w:rsidR="00C64C55" w:rsidRPr="00C64C55" w:rsidRDefault="00C64C55" w:rsidP="00C64C55">
            <w:pPr>
              <w:jc w:val="center"/>
              <w:rPr>
                <w:rFonts w:ascii="Arial" w:hAnsi="Arial" w:cs="Arial"/>
                <w:sz w:val="20"/>
                <w:lang w:eastAsia="bg-BG"/>
              </w:rPr>
            </w:pPr>
            <w:r w:rsidRPr="00C64C55">
              <w:rPr>
                <w:rFonts w:ascii="Arial" w:hAnsi="Arial" w:cs="Arial"/>
                <w:sz w:val="20"/>
                <w:lang w:eastAsia="bg-BG"/>
              </w:rPr>
              <w:t xml:space="preserve">                             68 </w:t>
            </w:r>
          </w:p>
        </w:tc>
      </w:tr>
      <w:tr w:rsidR="00C64C55" w:rsidRPr="00C64C55" w14:paraId="39092C63" w14:textId="77777777" w:rsidTr="00C64C55">
        <w:trPr>
          <w:trHeight w:val="255"/>
        </w:trPr>
        <w:tc>
          <w:tcPr>
            <w:tcW w:w="3206" w:type="pct"/>
            <w:tcBorders>
              <w:top w:val="nil"/>
              <w:left w:val="single" w:sz="4" w:space="0" w:color="auto"/>
              <w:bottom w:val="single" w:sz="4" w:space="0" w:color="auto"/>
              <w:right w:val="nil"/>
            </w:tcBorders>
            <w:shd w:val="clear" w:color="000000" w:fill="FFFFFF"/>
            <w:vAlign w:val="bottom"/>
            <w:hideMark/>
          </w:tcPr>
          <w:p w14:paraId="11797705"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Вземания за лихви по кредити и заеми от несвързани лица</w:t>
            </w:r>
          </w:p>
        </w:tc>
        <w:tc>
          <w:tcPr>
            <w:tcW w:w="872" w:type="pct"/>
            <w:tcBorders>
              <w:top w:val="nil"/>
              <w:left w:val="single" w:sz="4" w:space="0" w:color="auto"/>
              <w:bottom w:val="single" w:sz="4" w:space="0" w:color="auto"/>
              <w:right w:val="nil"/>
            </w:tcBorders>
            <w:shd w:val="clear" w:color="000000" w:fill="FFFFFF"/>
            <w:noWrap/>
            <w:vAlign w:val="bottom"/>
            <w:hideMark/>
          </w:tcPr>
          <w:p w14:paraId="7BD7B2B6" w14:textId="77777777" w:rsidR="00C64C55" w:rsidRPr="00C64C55" w:rsidRDefault="00C64C55" w:rsidP="00C64C55">
            <w:pPr>
              <w:jc w:val="center"/>
              <w:rPr>
                <w:rFonts w:ascii="Arial" w:hAnsi="Arial" w:cs="Arial"/>
                <w:sz w:val="20"/>
                <w:lang w:eastAsia="bg-BG"/>
              </w:rPr>
            </w:pPr>
            <w:r w:rsidRPr="00C64C55">
              <w:rPr>
                <w:rFonts w:ascii="Arial" w:hAnsi="Arial" w:cs="Arial"/>
                <w:sz w:val="20"/>
                <w:lang w:eastAsia="bg-BG"/>
              </w:rPr>
              <w:t xml:space="preserve">                            54 </w:t>
            </w:r>
          </w:p>
        </w:tc>
        <w:tc>
          <w:tcPr>
            <w:tcW w:w="923" w:type="pct"/>
            <w:tcBorders>
              <w:top w:val="nil"/>
              <w:left w:val="single" w:sz="4" w:space="0" w:color="auto"/>
              <w:bottom w:val="single" w:sz="4" w:space="0" w:color="auto"/>
              <w:right w:val="nil"/>
            </w:tcBorders>
            <w:shd w:val="clear" w:color="000000" w:fill="FFFFFF"/>
            <w:noWrap/>
            <w:vAlign w:val="bottom"/>
            <w:hideMark/>
          </w:tcPr>
          <w:p w14:paraId="1CEFDD4A" w14:textId="77777777" w:rsidR="00C64C55" w:rsidRPr="00C64C55" w:rsidRDefault="00C64C55" w:rsidP="00C64C55">
            <w:pPr>
              <w:jc w:val="center"/>
              <w:rPr>
                <w:rFonts w:ascii="Arial" w:hAnsi="Arial" w:cs="Arial"/>
                <w:sz w:val="20"/>
                <w:lang w:eastAsia="bg-BG"/>
              </w:rPr>
            </w:pPr>
            <w:r w:rsidRPr="00C64C55">
              <w:rPr>
                <w:rFonts w:ascii="Arial" w:hAnsi="Arial" w:cs="Arial"/>
                <w:sz w:val="20"/>
                <w:lang w:eastAsia="bg-BG"/>
              </w:rPr>
              <w:t xml:space="preserve">                             46 </w:t>
            </w:r>
          </w:p>
        </w:tc>
      </w:tr>
      <w:tr w:rsidR="00C64C55" w:rsidRPr="00C64C55" w14:paraId="36E01E34" w14:textId="77777777" w:rsidTr="00C64C55">
        <w:trPr>
          <w:trHeight w:val="255"/>
        </w:trPr>
        <w:tc>
          <w:tcPr>
            <w:tcW w:w="3206" w:type="pct"/>
            <w:tcBorders>
              <w:top w:val="nil"/>
              <w:left w:val="single" w:sz="4" w:space="0" w:color="auto"/>
              <w:bottom w:val="single" w:sz="4" w:space="0" w:color="auto"/>
              <w:right w:val="nil"/>
            </w:tcBorders>
            <w:shd w:val="clear" w:color="000000" w:fill="FFFFFF"/>
            <w:vAlign w:val="bottom"/>
            <w:hideMark/>
          </w:tcPr>
          <w:p w14:paraId="2FF896E6"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Обезценки на вземания по кредити и заеми от несвързани лица</w:t>
            </w:r>
          </w:p>
        </w:tc>
        <w:tc>
          <w:tcPr>
            <w:tcW w:w="872" w:type="pct"/>
            <w:tcBorders>
              <w:top w:val="nil"/>
              <w:left w:val="single" w:sz="4" w:space="0" w:color="auto"/>
              <w:bottom w:val="single" w:sz="4" w:space="0" w:color="auto"/>
              <w:right w:val="nil"/>
            </w:tcBorders>
            <w:shd w:val="clear" w:color="000000" w:fill="FFFFFF"/>
            <w:noWrap/>
            <w:vAlign w:val="bottom"/>
            <w:hideMark/>
          </w:tcPr>
          <w:p w14:paraId="6EC1D396" w14:textId="77777777" w:rsidR="00C64C55" w:rsidRPr="00C64C55" w:rsidRDefault="00C64C55" w:rsidP="00C64C55">
            <w:pPr>
              <w:jc w:val="center"/>
              <w:rPr>
                <w:rFonts w:ascii="Arial" w:hAnsi="Arial" w:cs="Arial"/>
                <w:sz w:val="20"/>
                <w:lang w:eastAsia="bg-BG"/>
              </w:rPr>
            </w:pPr>
            <w:r w:rsidRPr="00C64C55">
              <w:rPr>
                <w:rFonts w:ascii="Arial" w:hAnsi="Arial" w:cs="Arial"/>
                <w:sz w:val="20"/>
                <w:lang w:eastAsia="bg-BG"/>
              </w:rPr>
              <w:t xml:space="preserve">                            (3)</w:t>
            </w:r>
          </w:p>
        </w:tc>
        <w:tc>
          <w:tcPr>
            <w:tcW w:w="923" w:type="pct"/>
            <w:tcBorders>
              <w:top w:val="nil"/>
              <w:left w:val="single" w:sz="4" w:space="0" w:color="auto"/>
              <w:bottom w:val="single" w:sz="4" w:space="0" w:color="auto"/>
              <w:right w:val="nil"/>
            </w:tcBorders>
            <w:shd w:val="clear" w:color="000000" w:fill="FFFFFF"/>
            <w:noWrap/>
            <w:vAlign w:val="bottom"/>
            <w:hideMark/>
          </w:tcPr>
          <w:p w14:paraId="1CDF2020" w14:textId="77777777" w:rsidR="00C64C55" w:rsidRPr="00C64C55" w:rsidRDefault="00C64C55" w:rsidP="00C64C55">
            <w:pPr>
              <w:jc w:val="center"/>
              <w:rPr>
                <w:rFonts w:ascii="Arial" w:hAnsi="Arial" w:cs="Arial"/>
                <w:sz w:val="20"/>
                <w:lang w:eastAsia="bg-BG"/>
              </w:rPr>
            </w:pPr>
            <w:r w:rsidRPr="00C64C55">
              <w:rPr>
                <w:rFonts w:ascii="Arial" w:hAnsi="Arial" w:cs="Arial"/>
                <w:sz w:val="20"/>
                <w:lang w:eastAsia="bg-BG"/>
              </w:rPr>
              <w:t xml:space="preserve">                              (3)</w:t>
            </w:r>
          </w:p>
        </w:tc>
      </w:tr>
      <w:tr w:rsidR="00C64C55" w:rsidRPr="00C64C55" w14:paraId="2A871080" w14:textId="77777777" w:rsidTr="00C64C55">
        <w:trPr>
          <w:trHeight w:val="255"/>
        </w:trPr>
        <w:tc>
          <w:tcPr>
            <w:tcW w:w="3206" w:type="pct"/>
            <w:tcBorders>
              <w:top w:val="nil"/>
              <w:left w:val="single" w:sz="4" w:space="0" w:color="auto"/>
              <w:bottom w:val="single" w:sz="4" w:space="0" w:color="auto"/>
              <w:right w:val="nil"/>
            </w:tcBorders>
            <w:shd w:val="clear" w:color="000000" w:fill="00AEEF"/>
            <w:noWrap/>
            <w:vAlign w:val="bottom"/>
            <w:hideMark/>
          </w:tcPr>
          <w:p w14:paraId="4EF37BAB"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Общо</w:t>
            </w:r>
          </w:p>
        </w:tc>
        <w:tc>
          <w:tcPr>
            <w:tcW w:w="872" w:type="pct"/>
            <w:tcBorders>
              <w:top w:val="nil"/>
              <w:left w:val="single" w:sz="4" w:space="0" w:color="auto"/>
              <w:bottom w:val="single" w:sz="4" w:space="0" w:color="auto"/>
              <w:right w:val="nil"/>
            </w:tcBorders>
            <w:shd w:val="clear" w:color="000000" w:fill="00AEEF"/>
            <w:noWrap/>
            <w:vAlign w:val="bottom"/>
            <w:hideMark/>
          </w:tcPr>
          <w:p w14:paraId="6DDC3399"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 xml:space="preserve">                          125 </w:t>
            </w:r>
          </w:p>
        </w:tc>
        <w:tc>
          <w:tcPr>
            <w:tcW w:w="923" w:type="pct"/>
            <w:tcBorders>
              <w:top w:val="nil"/>
              <w:left w:val="single" w:sz="4" w:space="0" w:color="auto"/>
              <w:bottom w:val="single" w:sz="4" w:space="0" w:color="auto"/>
              <w:right w:val="single" w:sz="4" w:space="0" w:color="auto"/>
            </w:tcBorders>
            <w:shd w:val="clear" w:color="000000" w:fill="00AEEF"/>
            <w:noWrap/>
            <w:vAlign w:val="bottom"/>
            <w:hideMark/>
          </w:tcPr>
          <w:p w14:paraId="33B464AD"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 xml:space="preserve">                           114 </w:t>
            </w:r>
          </w:p>
        </w:tc>
      </w:tr>
    </w:tbl>
    <w:p w14:paraId="02BB2682" w14:textId="77777777" w:rsidR="00C64C55" w:rsidRDefault="00C64C55" w:rsidP="00896259"/>
    <w:p w14:paraId="4535C0A9" w14:textId="77777777" w:rsidR="00C64C55" w:rsidRDefault="00C64C55" w:rsidP="00896259"/>
    <w:tbl>
      <w:tblPr>
        <w:tblW w:w="5000" w:type="pct"/>
        <w:tblCellMar>
          <w:left w:w="70" w:type="dxa"/>
          <w:right w:w="70" w:type="dxa"/>
        </w:tblCellMar>
        <w:tblLook w:val="04A0" w:firstRow="1" w:lastRow="0" w:firstColumn="1" w:lastColumn="0" w:noHBand="0" w:noVBand="1"/>
      </w:tblPr>
      <w:tblGrid>
        <w:gridCol w:w="5797"/>
        <w:gridCol w:w="1879"/>
        <w:gridCol w:w="1931"/>
      </w:tblGrid>
      <w:tr w:rsidR="00C64C55" w:rsidRPr="00C64C55" w14:paraId="3F28F214" w14:textId="77777777" w:rsidTr="00C64C55">
        <w:trPr>
          <w:trHeight w:val="263"/>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302CBBAF"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Вземания по цесии, отчитани по справедлива стойност през печалбата или загубата - текущи</w:t>
            </w:r>
          </w:p>
        </w:tc>
      </w:tr>
      <w:tr w:rsidR="00C64C55" w:rsidRPr="00C64C55" w14:paraId="7E1086CB" w14:textId="77777777" w:rsidTr="00C64C55">
        <w:trPr>
          <w:trHeight w:val="263"/>
        </w:trPr>
        <w:tc>
          <w:tcPr>
            <w:tcW w:w="3188" w:type="pct"/>
            <w:tcBorders>
              <w:top w:val="nil"/>
              <w:left w:val="single" w:sz="4" w:space="0" w:color="auto"/>
              <w:bottom w:val="single" w:sz="4" w:space="0" w:color="auto"/>
              <w:right w:val="nil"/>
            </w:tcBorders>
            <w:shd w:val="clear" w:color="000000" w:fill="FFFFFF"/>
            <w:noWrap/>
            <w:vAlign w:val="bottom"/>
            <w:hideMark/>
          </w:tcPr>
          <w:p w14:paraId="20DBCA60"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Вид</w:t>
            </w:r>
          </w:p>
        </w:tc>
        <w:tc>
          <w:tcPr>
            <w:tcW w:w="894" w:type="pct"/>
            <w:tcBorders>
              <w:top w:val="nil"/>
              <w:left w:val="single" w:sz="4" w:space="0" w:color="auto"/>
              <w:bottom w:val="single" w:sz="4" w:space="0" w:color="auto"/>
              <w:right w:val="single" w:sz="4" w:space="0" w:color="auto"/>
            </w:tcBorders>
            <w:shd w:val="clear" w:color="000000" w:fill="FFFFFF"/>
            <w:noWrap/>
            <w:vAlign w:val="center"/>
            <w:hideMark/>
          </w:tcPr>
          <w:p w14:paraId="2AEF87F0"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30.06.2024 г</w:t>
            </w:r>
          </w:p>
        </w:tc>
        <w:tc>
          <w:tcPr>
            <w:tcW w:w="918" w:type="pct"/>
            <w:tcBorders>
              <w:top w:val="nil"/>
              <w:left w:val="nil"/>
              <w:bottom w:val="single" w:sz="4" w:space="0" w:color="auto"/>
              <w:right w:val="single" w:sz="4" w:space="0" w:color="auto"/>
            </w:tcBorders>
            <w:shd w:val="clear" w:color="000000" w:fill="FFFFFF"/>
            <w:noWrap/>
            <w:vAlign w:val="center"/>
            <w:hideMark/>
          </w:tcPr>
          <w:p w14:paraId="423ECB78"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31.12.2023 г.</w:t>
            </w:r>
          </w:p>
        </w:tc>
      </w:tr>
      <w:tr w:rsidR="00C64C55" w:rsidRPr="00C64C55" w14:paraId="2E9D092A" w14:textId="77777777" w:rsidTr="00C64C55">
        <w:trPr>
          <w:trHeight w:val="255"/>
        </w:trPr>
        <w:tc>
          <w:tcPr>
            <w:tcW w:w="3188" w:type="pct"/>
            <w:tcBorders>
              <w:top w:val="nil"/>
              <w:left w:val="single" w:sz="4" w:space="0" w:color="auto"/>
              <w:bottom w:val="single" w:sz="4" w:space="0" w:color="auto"/>
              <w:right w:val="nil"/>
            </w:tcBorders>
            <w:shd w:val="clear" w:color="000000" w:fill="FFFFFF"/>
            <w:noWrap/>
            <w:vAlign w:val="bottom"/>
            <w:hideMark/>
          </w:tcPr>
          <w:p w14:paraId="5B100F88"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Вземания по цесии от свързани лица в групата, в т.ч.: /нето/</w:t>
            </w:r>
          </w:p>
        </w:tc>
        <w:tc>
          <w:tcPr>
            <w:tcW w:w="894" w:type="pct"/>
            <w:tcBorders>
              <w:top w:val="nil"/>
              <w:left w:val="single" w:sz="4" w:space="0" w:color="auto"/>
              <w:bottom w:val="single" w:sz="4" w:space="0" w:color="auto"/>
              <w:right w:val="nil"/>
            </w:tcBorders>
            <w:shd w:val="clear" w:color="000000" w:fill="FFFFFF"/>
            <w:noWrap/>
            <w:vAlign w:val="bottom"/>
            <w:hideMark/>
          </w:tcPr>
          <w:p w14:paraId="1230C2EE" w14:textId="4E55E3A5" w:rsidR="00C64C55" w:rsidRPr="00C64C55" w:rsidRDefault="00C64C55" w:rsidP="00C64C55">
            <w:pPr>
              <w:jc w:val="center"/>
              <w:rPr>
                <w:rFonts w:ascii="Arial" w:hAnsi="Arial" w:cs="Arial"/>
                <w:b/>
                <w:bCs/>
                <w:sz w:val="20"/>
                <w:lang w:eastAsia="bg-BG"/>
              </w:rPr>
            </w:pPr>
            <w:r>
              <w:rPr>
                <w:rFonts w:ascii="Arial" w:hAnsi="Arial" w:cs="Arial"/>
                <w:b/>
                <w:bCs/>
                <w:sz w:val="20"/>
                <w:lang w:eastAsia="bg-BG"/>
              </w:rPr>
              <w:t xml:space="preserve">                    </w:t>
            </w:r>
            <w:r w:rsidRPr="00C64C55">
              <w:rPr>
                <w:rFonts w:ascii="Arial" w:hAnsi="Arial" w:cs="Arial"/>
                <w:b/>
                <w:bCs/>
                <w:sz w:val="20"/>
                <w:lang w:eastAsia="bg-BG"/>
              </w:rPr>
              <w:t xml:space="preserve"> 9 180 </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B2D4DD" w14:textId="39D82779" w:rsidR="00C64C55" w:rsidRPr="00C64C55" w:rsidRDefault="00C64C55" w:rsidP="00C64C55">
            <w:pPr>
              <w:jc w:val="center"/>
              <w:rPr>
                <w:rFonts w:ascii="Arial" w:hAnsi="Arial" w:cs="Arial"/>
                <w:b/>
                <w:bCs/>
                <w:sz w:val="20"/>
                <w:lang w:eastAsia="bg-BG"/>
              </w:rPr>
            </w:pPr>
            <w:r>
              <w:rPr>
                <w:rFonts w:ascii="Arial" w:hAnsi="Arial" w:cs="Arial"/>
                <w:b/>
                <w:bCs/>
                <w:sz w:val="20"/>
                <w:lang w:eastAsia="bg-BG"/>
              </w:rPr>
              <w:t xml:space="preserve">                      </w:t>
            </w:r>
            <w:r w:rsidRPr="00C64C55">
              <w:rPr>
                <w:rFonts w:ascii="Arial" w:hAnsi="Arial" w:cs="Arial"/>
                <w:b/>
                <w:bCs/>
                <w:sz w:val="20"/>
                <w:lang w:eastAsia="bg-BG"/>
              </w:rPr>
              <w:t xml:space="preserve">9 117 </w:t>
            </w:r>
          </w:p>
        </w:tc>
      </w:tr>
      <w:tr w:rsidR="00C64C55" w:rsidRPr="00C64C55" w14:paraId="708DB73A" w14:textId="77777777" w:rsidTr="00C64C55">
        <w:trPr>
          <w:trHeight w:val="255"/>
        </w:trPr>
        <w:tc>
          <w:tcPr>
            <w:tcW w:w="3188" w:type="pct"/>
            <w:tcBorders>
              <w:top w:val="nil"/>
              <w:left w:val="single" w:sz="4" w:space="0" w:color="auto"/>
              <w:bottom w:val="single" w:sz="4" w:space="0" w:color="auto"/>
              <w:right w:val="nil"/>
            </w:tcBorders>
            <w:shd w:val="clear" w:color="000000" w:fill="FFFFFF"/>
            <w:vAlign w:val="bottom"/>
            <w:hideMark/>
          </w:tcPr>
          <w:p w14:paraId="597552DE"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Вземания за главници по цесии от свързани лица в групата</w:t>
            </w:r>
          </w:p>
        </w:tc>
        <w:tc>
          <w:tcPr>
            <w:tcW w:w="894" w:type="pct"/>
            <w:tcBorders>
              <w:top w:val="nil"/>
              <w:left w:val="single" w:sz="4" w:space="0" w:color="auto"/>
              <w:bottom w:val="single" w:sz="4" w:space="0" w:color="auto"/>
              <w:right w:val="nil"/>
            </w:tcBorders>
            <w:shd w:val="clear" w:color="000000" w:fill="FFFFFF"/>
            <w:noWrap/>
            <w:vAlign w:val="bottom"/>
            <w:hideMark/>
          </w:tcPr>
          <w:p w14:paraId="04F8FAD9" w14:textId="52812E23" w:rsidR="00C64C55" w:rsidRPr="00C64C55" w:rsidRDefault="00C64C55" w:rsidP="00C64C55">
            <w:pPr>
              <w:jc w:val="center"/>
              <w:rPr>
                <w:rFonts w:ascii="Arial" w:hAnsi="Arial" w:cs="Arial"/>
                <w:sz w:val="20"/>
                <w:lang w:eastAsia="bg-BG"/>
              </w:rPr>
            </w:pPr>
            <w:r>
              <w:rPr>
                <w:rFonts w:ascii="Arial" w:hAnsi="Arial" w:cs="Arial"/>
                <w:sz w:val="20"/>
                <w:lang w:eastAsia="bg-BG"/>
              </w:rPr>
              <w:t xml:space="preserve">                      </w:t>
            </w:r>
            <w:r w:rsidRPr="00C64C55">
              <w:rPr>
                <w:rFonts w:ascii="Arial" w:hAnsi="Arial" w:cs="Arial"/>
                <w:sz w:val="20"/>
                <w:lang w:eastAsia="bg-BG"/>
              </w:rPr>
              <w:t xml:space="preserve">8 709 </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BC1565" w14:textId="245052E4" w:rsidR="00C64C55" w:rsidRPr="00C64C55" w:rsidRDefault="00C64C55" w:rsidP="00C64C55">
            <w:pPr>
              <w:jc w:val="center"/>
              <w:rPr>
                <w:rFonts w:ascii="Arial" w:hAnsi="Arial" w:cs="Arial"/>
                <w:sz w:val="20"/>
                <w:lang w:eastAsia="bg-BG"/>
              </w:rPr>
            </w:pPr>
            <w:r>
              <w:rPr>
                <w:rFonts w:ascii="Arial" w:hAnsi="Arial" w:cs="Arial"/>
                <w:sz w:val="20"/>
                <w:lang w:eastAsia="bg-BG"/>
              </w:rPr>
              <w:t xml:space="preserve">                       </w:t>
            </w:r>
            <w:r w:rsidRPr="00C64C55">
              <w:rPr>
                <w:rFonts w:ascii="Arial" w:hAnsi="Arial" w:cs="Arial"/>
                <w:sz w:val="20"/>
                <w:lang w:eastAsia="bg-BG"/>
              </w:rPr>
              <w:t xml:space="preserve">8 713 </w:t>
            </w:r>
          </w:p>
        </w:tc>
      </w:tr>
      <w:tr w:rsidR="00C64C55" w:rsidRPr="00C64C55" w14:paraId="031A9C30" w14:textId="77777777" w:rsidTr="00C64C55">
        <w:trPr>
          <w:trHeight w:val="255"/>
        </w:trPr>
        <w:tc>
          <w:tcPr>
            <w:tcW w:w="3188" w:type="pct"/>
            <w:tcBorders>
              <w:top w:val="nil"/>
              <w:left w:val="single" w:sz="4" w:space="0" w:color="auto"/>
              <w:bottom w:val="single" w:sz="4" w:space="0" w:color="auto"/>
              <w:right w:val="nil"/>
            </w:tcBorders>
            <w:shd w:val="clear" w:color="000000" w:fill="FFFFFF"/>
            <w:vAlign w:val="bottom"/>
            <w:hideMark/>
          </w:tcPr>
          <w:p w14:paraId="07BB2FB9"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Вземания за лихви по цесии от свързани лица в групата</w:t>
            </w:r>
          </w:p>
        </w:tc>
        <w:tc>
          <w:tcPr>
            <w:tcW w:w="894" w:type="pct"/>
            <w:tcBorders>
              <w:top w:val="nil"/>
              <w:left w:val="single" w:sz="4" w:space="0" w:color="auto"/>
              <w:bottom w:val="single" w:sz="4" w:space="0" w:color="auto"/>
              <w:right w:val="nil"/>
            </w:tcBorders>
            <w:shd w:val="clear" w:color="000000" w:fill="FFFFFF"/>
            <w:noWrap/>
            <w:vAlign w:val="bottom"/>
            <w:hideMark/>
          </w:tcPr>
          <w:p w14:paraId="3322853B" w14:textId="77777777" w:rsidR="00C64C55" w:rsidRPr="00C64C55" w:rsidRDefault="00C64C55" w:rsidP="00C64C55">
            <w:pPr>
              <w:jc w:val="right"/>
              <w:rPr>
                <w:rFonts w:ascii="Arial" w:hAnsi="Arial" w:cs="Arial"/>
                <w:color w:val="000000"/>
                <w:sz w:val="20"/>
                <w:lang w:eastAsia="bg-BG"/>
              </w:rPr>
            </w:pPr>
            <w:r w:rsidRPr="00C64C55">
              <w:rPr>
                <w:rFonts w:ascii="Arial" w:hAnsi="Arial" w:cs="Arial"/>
                <w:color w:val="000000"/>
                <w:sz w:val="20"/>
                <w:lang w:eastAsia="bg-BG"/>
              </w:rPr>
              <w:t xml:space="preserve">                          471 </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DE4AD" w14:textId="77777777" w:rsidR="00C64C55" w:rsidRPr="00C64C55" w:rsidRDefault="00C64C55" w:rsidP="00C64C55">
            <w:pPr>
              <w:jc w:val="right"/>
              <w:rPr>
                <w:rFonts w:ascii="Arial" w:hAnsi="Arial" w:cs="Arial"/>
                <w:sz w:val="20"/>
                <w:lang w:eastAsia="bg-BG"/>
              </w:rPr>
            </w:pPr>
            <w:r w:rsidRPr="00C64C55">
              <w:rPr>
                <w:rFonts w:ascii="Arial" w:hAnsi="Arial" w:cs="Arial"/>
                <w:sz w:val="20"/>
                <w:lang w:eastAsia="bg-BG"/>
              </w:rPr>
              <w:t xml:space="preserve">                           404 </w:t>
            </w:r>
          </w:p>
        </w:tc>
      </w:tr>
      <w:tr w:rsidR="00C64C55" w:rsidRPr="00C64C55" w14:paraId="134CB411" w14:textId="77777777" w:rsidTr="00C64C55">
        <w:trPr>
          <w:trHeight w:val="255"/>
        </w:trPr>
        <w:tc>
          <w:tcPr>
            <w:tcW w:w="3188" w:type="pct"/>
            <w:tcBorders>
              <w:top w:val="nil"/>
              <w:left w:val="single" w:sz="4" w:space="0" w:color="auto"/>
              <w:bottom w:val="single" w:sz="4" w:space="0" w:color="auto"/>
              <w:right w:val="nil"/>
            </w:tcBorders>
            <w:shd w:val="clear" w:color="000000" w:fill="FFFFFF"/>
            <w:noWrap/>
            <w:vAlign w:val="bottom"/>
            <w:hideMark/>
          </w:tcPr>
          <w:p w14:paraId="2EE6A106"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Вземания по цесии от несвързани лица, в т.ч.: /нето/</w:t>
            </w:r>
          </w:p>
        </w:tc>
        <w:tc>
          <w:tcPr>
            <w:tcW w:w="894" w:type="pct"/>
            <w:tcBorders>
              <w:top w:val="nil"/>
              <w:left w:val="single" w:sz="4" w:space="0" w:color="auto"/>
              <w:bottom w:val="single" w:sz="4" w:space="0" w:color="auto"/>
              <w:right w:val="nil"/>
            </w:tcBorders>
            <w:shd w:val="clear" w:color="000000" w:fill="FFFFFF"/>
            <w:noWrap/>
            <w:vAlign w:val="bottom"/>
            <w:hideMark/>
          </w:tcPr>
          <w:p w14:paraId="60BC36E0" w14:textId="77777777" w:rsidR="00C64C55" w:rsidRPr="00C64C55" w:rsidRDefault="00C64C55" w:rsidP="00C64C55">
            <w:pPr>
              <w:jc w:val="right"/>
              <w:rPr>
                <w:rFonts w:ascii="Arial" w:hAnsi="Arial" w:cs="Arial"/>
                <w:b/>
                <w:bCs/>
                <w:sz w:val="20"/>
                <w:lang w:eastAsia="bg-BG"/>
              </w:rPr>
            </w:pPr>
            <w:r w:rsidRPr="00C64C55">
              <w:rPr>
                <w:rFonts w:ascii="Arial" w:hAnsi="Arial" w:cs="Arial"/>
                <w:b/>
                <w:bCs/>
                <w:sz w:val="20"/>
                <w:lang w:eastAsia="bg-BG"/>
              </w:rPr>
              <w:t xml:space="preserve">                          838 </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921C19" w14:textId="77777777" w:rsidR="00C64C55" w:rsidRPr="00C64C55" w:rsidRDefault="00C64C55" w:rsidP="00C64C55">
            <w:pPr>
              <w:jc w:val="right"/>
              <w:rPr>
                <w:rFonts w:ascii="Arial" w:hAnsi="Arial" w:cs="Arial"/>
                <w:b/>
                <w:bCs/>
                <w:sz w:val="20"/>
                <w:lang w:eastAsia="bg-BG"/>
              </w:rPr>
            </w:pPr>
            <w:r w:rsidRPr="00C64C55">
              <w:rPr>
                <w:rFonts w:ascii="Arial" w:hAnsi="Arial" w:cs="Arial"/>
                <w:b/>
                <w:bCs/>
                <w:sz w:val="20"/>
                <w:lang w:eastAsia="bg-BG"/>
              </w:rPr>
              <w:t xml:space="preserve">                           835 </w:t>
            </w:r>
          </w:p>
        </w:tc>
      </w:tr>
      <w:tr w:rsidR="00C64C55" w:rsidRPr="00C64C55" w14:paraId="255EC8D0" w14:textId="77777777" w:rsidTr="00C64C55">
        <w:trPr>
          <w:trHeight w:val="255"/>
        </w:trPr>
        <w:tc>
          <w:tcPr>
            <w:tcW w:w="3188" w:type="pct"/>
            <w:tcBorders>
              <w:top w:val="nil"/>
              <w:left w:val="single" w:sz="4" w:space="0" w:color="auto"/>
              <w:bottom w:val="single" w:sz="4" w:space="0" w:color="auto"/>
              <w:right w:val="nil"/>
            </w:tcBorders>
            <w:shd w:val="clear" w:color="000000" w:fill="FFFFFF"/>
            <w:noWrap/>
            <w:vAlign w:val="bottom"/>
            <w:hideMark/>
          </w:tcPr>
          <w:p w14:paraId="00A4A082"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Вземания за главници по цесии от несвързани лица</w:t>
            </w:r>
          </w:p>
        </w:tc>
        <w:tc>
          <w:tcPr>
            <w:tcW w:w="894" w:type="pct"/>
            <w:tcBorders>
              <w:top w:val="nil"/>
              <w:left w:val="single" w:sz="4" w:space="0" w:color="auto"/>
              <w:bottom w:val="single" w:sz="4" w:space="0" w:color="auto"/>
              <w:right w:val="nil"/>
            </w:tcBorders>
            <w:shd w:val="clear" w:color="000000" w:fill="FFFFFF"/>
            <w:noWrap/>
            <w:vAlign w:val="bottom"/>
            <w:hideMark/>
          </w:tcPr>
          <w:p w14:paraId="46AE54C5" w14:textId="4D25C7E4" w:rsidR="00C64C55" w:rsidRPr="00C64C55" w:rsidRDefault="00C64C55" w:rsidP="00C64C55">
            <w:pPr>
              <w:jc w:val="right"/>
              <w:rPr>
                <w:rFonts w:ascii="Arial" w:hAnsi="Arial" w:cs="Arial"/>
                <w:sz w:val="20"/>
                <w:lang w:eastAsia="bg-BG"/>
              </w:rPr>
            </w:pPr>
            <w:r>
              <w:rPr>
                <w:rFonts w:ascii="Arial" w:hAnsi="Arial" w:cs="Arial"/>
                <w:sz w:val="20"/>
                <w:lang w:eastAsia="bg-BG"/>
              </w:rPr>
              <w:t xml:space="preserve">                      </w:t>
            </w:r>
            <w:r w:rsidRPr="00C64C55">
              <w:rPr>
                <w:rFonts w:ascii="Arial" w:hAnsi="Arial" w:cs="Arial"/>
                <w:sz w:val="20"/>
                <w:lang w:eastAsia="bg-BG"/>
              </w:rPr>
              <w:t xml:space="preserve">1 138 </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F6F697" w14:textId="707C29AC" w:rsidR="00C64C55" w:rsidRPr="00C64C55" w:rsidRDefault="00C64C55" w:rsidP="00C64C55">
            <w:pPr>
              <w:jc w:val="right"/>
              <w:rPr>
                <w:rFonts w:ascii="Arial" w:hAnsi="Arial" w:cs="Arial"/>
                <w:sz w:val="20"/>
                <w:lang w:eastAsia="bg-BG"/>
              </w:rPr>
            </w:pPr>
            <w:r>
              <w:rPr>
                <w:rFonts w:ascii="Arial" w:hAnsi="Arial" w:cs="Arial"/>
                <w:sz w:val="20"/>
                <w:lang w:eastAsia="bg-BG"/>
              </w:rPr>
              <w:t xml:space="preserve">                       </w:t>
            </w:r>
            <w:r w:rsidRPr="00C64C55">
              <w:rPr>
                <w:rFonts w:ascii="Arial" w:hAnsi="Arial" w:cs="Arial"/>
                <w:sz w:val="20"/>
                <w:lang w:eastAsia="bg-BG"/>
              </w:rPr>
              <w:t xml:space="preserve">1 138 </w:t>
            </w:r>
          </w:p>
        </w:tc>
      </w:tr>
      <w:tr w:rsidR="00C64C55" w:rsidRPr="00C64C55" w14:paraId="6E007BCA" w14:textId="77777777" w:rsidTr="00C64C55">
        <w:trPr>
          <w:trHeight w:val="255"/>
        </w:trPr>
        <w:tc>
          <w:tcPr>
            <w:tcW w:w="3188" w:type="pct"/>
            <w:tcBorders>
              <w:top w:val="nil"/>
              <w:left w:val="single" w:sz="4" w:space="0" w:color="auto"/>
              <w:bottom w:val="single" w:sz="4" w:space="0" w:color="auto"/>
              <w:right w:val="nil"/>
            </w:tcBorders>
            <w:shd w:val="clear" w:color="000000" w:fill="FFFFFF"/>
            <w:noWrap/>
            <w:vAlign w:val="bottom"/>
            <w:hideMark/>
          </w:tcPr>
          <w:p w14:paraId="404A91C1"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Вземания за лихви по цесии от несвързани лица</w:t>
            </w:r>
          </w:p>
        </w:tc>
        <w:tc>
          <w:tcPr>
            <w:tcW w:w="894" w:type="pct"/>
            <w:tcBorders>
              <w:top w:val="nil"/>
              <w:left w:val="single" w:sz="4" w:space="0" w:color="auto"/>
              <w:bottom w:val="single" w:sz="4" w:space="0" w:color="auto"/>
              <w:right w:val="nil"/>
            </w:tcBorders>
            <w:shd w:val="clear" w:color="000000" w:fill="FFFFFF"/>
            <w:noWrap/>
            <w:vAlign w:val="bottom"/>
            <w:hideMark/>
          </w:tcPr>
          <w:p w14:paraId="07C669D1" w14:textId="77777777" w:rsidR="00C64C55" w:rsidRPr="00C64C55" w:rsidRDefault="00C64C55" w:rsidP="00C64C55">
            <w:pPr>
              <w:jc w:val="right"/>
              <w:rPr>
                <w:rFonts w:ascii="Arial" w:hAnsi="Arial" w:cs="Arial"/>
                <w:sz w:val="20"/>
                <w:lang w:eastAsia="bg-BG"/>
              </w:rPr>
            </w:pPr>
            <w:r w:rsidRPr="00C64C55">
              <w:rPr>
                <w:rFonts w:ascii="Arial" w:hAnsi="Arial" w:cs="Arial"/>
                <w:sz w:val="20"/>
                <w:lang w:eastAsia="bg-BG"/>
              </w:rPr>
              <w:t xml:space="preserve">                            </w:t>
            </w:r>
            <w:r w:rsidRPr="00C64C55">
              <w:rPr>
                <w:rFonts w:ascii="Arial" w:hAnsi="Arial" w:cs="Arial"/>
                <w:sz w:val="20"/>
                <w:lang w:eastAsia="bg-BG"/>
              </w:rPr>
              <w:lastRenderedPageBreak/>
              <w:t xml:space="preserve">24 </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D61C17" w14:textId="77777777" w:rsidR="00C64C55" w:rsidRPr="00C64C55" w:rsidRDefault="00C64C55" w:rsidP="00C64C55">
            <w:pPr>
              <w:jc w:val="right"/>
              <w:rPr>
                <w:rFonts w:ascii="Arial" w:hAnsi="Arial" w:cs="Arial"/>
                <w:sz w:val="20"/>
                <w:lang w:eastAsia="bg-BG"/>
              </w:rPr>
            </w:pPr>
            <w:r w:rsidRPr="00C64C55">
              <w:rPr>
                <w:rFonts w:ascii="Arial" w:hAnsi="Arial" w:cs="Arial"/>
                <w:sz w:val="20"/>
                <w:lang w:eastAsia="bg-BG"/>
              </w:rPr>
              <w:lastRenderedPageBreak/>
              <w:t xml:space="preserve">                             </w:t>
            </w:r>
            <w:r w:rsidRPr="00C64C55">
              <w:rPr>
                <w:rFonts w:ascii="Arial" w:hAnsi="Arial" w:cs="Arial"/>
                <w:sz w:val="20"/>
                <w:lang w:eastAsia="bg-BG"/>
              </w:rPr>
              <w:lastRenderedPageBreak/>
              <w:t xml:space="preserve">21 </w:t>
            </w:r>
          </w:p>
        </w:tc>
      </w:tr>
      <w:tr w:rsidR="00C64C55" w:rsidRPr="00C64C55" w14:paraId="0907C304" w14:textId="77777777" w:rsidTr="00C64C55">
        <w:trPr>
          <w:trHeight w:val="255"/>
        </w:trPr>
        <w:tc>
          <w:tcPr>
            <w:tcW w:w="3188" w:type="pct"/>
            <w:tcBorders>
              <w:top w:val="nil"/>
              <w:left w:val="single" w:sz="4" w:space="0" w:color="auto"/>
              <w:bottom w:val="single" w:sz="4" w:space="0" w:color="auto"/>
              <w:right w:val="nil"/>
            </w:tcBorders>
            <w:shd w:val="clear" w:color="000000" w:fill="FFFFFF"/>
            <w:noWrap/>
            <w:vAlign w:val="bottom"/>
            <w:hideMark/>
          </w:tcPr>
          <w:p w14:paraId="2399E1A1"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lastRenderedPageBreak/>
              <w:t>Обезценки на вземания по цесии от несвързани лица</w:t>
            </w:r>
          </w:p>
        </w:tc>
        <w:tc>
          <w:tcPr>
            <w:tcW w:w="894" w:type="pct"/>
            <w:tcBorders>
              <w:top w:val="nil"/>
              <w:left w:val="single" w:sz="4" w:space="0" w:color="auto"/>
              <w:bottom w:val="single" w:sz="4" w:space="0" w:color="auto"/>
              <w:right w:val="nil"/>
            </w:tcBorders>
            <w:shd w:val="clear" w:color="000000" w:fill="FFFFFF"/>
            <w:noWrap/>
            <w:vAlign w:val="bottom"/>
            <w:hideMark/>
          </w:tcPr>
          <w:p w14:paraId="6171B108" w14:textId="77777777" w:rsidR="00C64C55" w:rsidRPr="00C64C55" w:rsidRDefault="00C64C55" w:rsidP="00C64C55">
            <w:pPr>
              <w:jc w:val="right"/>
              <w:rPr>
                <w:rFonts w:ascii="Arial" w:hAnsi="Arial" w:cs="Arial"/>
                <w:sz w:val="20"/>
                <w:lang w:eastAsia="bg-BG"/>
              </w:rPr>
            </w:pPr>
            <w:r w:rsidRPr="00C64C55">
              <w:rPr>
                <w:rFonts w:ascii="Arial" w:hAnsi="Arial" w:cs="Arial"/>
                <w:sz w:val="20"/>
                <w:lang w:eastAsia="bg-BG"/>
              </w:rPr>
              <w:t xml:space="preserve">                         (324)</w:t>
            </w:r>
          </w:p>
        </w:tc>
        <w:tc>
          <w:tcPr>
            <w:tcW w:w="9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A16E0D" w14:textId="77777777" w:rsidR="00C64C55" w:rsidRPr="00C64C55" w:rsidRDefault="00C64C55" w:rsidP="00C64C55">
            <w:pPr>
              <w:jc w:val="right"/>
              <w:rPr>
                <w:rFonts w:ascii="Arial" w:hAnsi="Arial" w:cs="Arial"/>
                <w:sz w:val="20"/>
                <w:lang w:eastAsia="bg-BG"/>
              </w:rPr>
            </w:pPr>
            <w:r w:rsidRPr="00C64C55">
              <w:rPr>
                <w:rFonts w:ascii="Arial" w:hAnsi="Arial" w:cs="Arial"/>
                <w:sz w:val="20"/>
                <w:lang w:eastAsia="bg-BG"/>
              </w:rPr>
              <w:t xml:space="preserve">                          (324)</w:t>
            </w:r>
          </w:p>
        </w:tc>
      </w:tr>
      <w:tr w:rsidR="00C64C55" w:rsidRPr="00C64C55" w14:paraId="60B72279" w14:textId="77777777" w:rsidTr="00C64C55">
        <w:trPr>
          <w:trHeight w:val="255"/>
        </w:trPr>
        <w:tc>
          <w:tcPr>
            <w:tcW w:w="3188" w:type="pct"/>
            <w:tcBorders>
              <w:top w:val="nil"/>
              <w:left w:val="single" w:sz="4" w:space="0" w:color="auto"/>
              <w:bottom w:val="single" w:sz="4" w:space="0" w:color="auto"/>
              <w:right w:val="nil"/>
            </w:tcBorders>
            <w:shd w:val="clear" w:color="000000" w:fill="00AEEF"/>
            <w:noWrap/>
            <w:vAlign w:val="bottom"/>
            <w:hideMark/>
          </w:tcPr>
          <w:p w14:paraId="09D11F36"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Общо</w:t>
            </w:r>
          </w:p>
        </w:tc>
        <w:tc>
          <w:tcPr>
            <w:tcW w:w="894" w:type="pct"/>
            <w:tcBorders>
              <w:top w:val="nil"/>
              <w:left w:val="single" w:sz="4" w:space="0" w:color="auto"/>
              <w:bottom w:val="single" w:sz="4" w:space="0" w:color="auto"/>
              <w:right w:val="nil"/>
            </w:tcBorders>
            <w:shd w:val="clear" w:color="000000" w:fill="00AEEF"/>
            <w:noWrap/>
            <w:vAlign w:val="bottom"/>
            <w:hideMark/>
          </w:tcPr>
          <w:p w14:paraId="36A71B48" w14:textId="64A0CDB7" w:rsidR="00C64C55" w:rsidRPr="00C64C55" w:rsidRDefault="00C64C55" w:rsidP="00C64C55">
            <w:pPr>
              <w:jc w:val="center"/>
              <w:rPr>
                <w:rFonts w:ascii="Arial" w:hAnsi="Arial" w:cs="Arial"/>
                <w:b/>
                <w:bCs/>
                <w:sz w:val="20"/>
                <w:lang w:eastAsia="bg-BG"/>
              </w:rPr>
            </w:pPr>
            <w:r>
              <w:rPr>
                <w:rFonts w:ascii="Arial" w:hAnsi="Arial" w:cs="Arial"/>
                <w:b/>
                <w:bCs/>
                <w:sz w:val="20"/>
                <w:lang w:eastAsia="bg-BG"/>
              </w:rPr>
              <w:t xml:space="preserve">                    </w:t>
            </w:r>
            <w:r w:rsidRPr="00C64C55">
              <w:rPr>
                <w:rFonts w:ascii="Arial" w:hAnsi="Arial" w:cs="Arial"/>
                <w:b/>
                <w:bCs/>
                <w:sz w:val="20"/>
                <w:lang w:eastAsia="bg-BG"/>
              </w:rPr>
              <w:t xml:space="preserve">10 018 </w:t>
            </w:r>
          </w:p>
        </w:tc>
        <w:tc>
          <w:tcPr>
            <w:tcW w:w="918" w:type="pct"/>
            <w:tcBorders>
              <w:top w:val="nil"/>
              <w:left w:val="single" w:sz="4" w:space="0" w:color="auto"/>
              <w:bottom w:val="single" w:sz="4" w:space="0" w:color="auto"/>
              <w:right w:val="single" w:sz="4" w:space="0" w:color="auto"/>
            </w:tcBorders>
            <w:shd w:val="clear" w:color="000000" w:fill="00AEEF"/>
            <w:noWrap/>
            <w:vAlign w:val="bottom"/>
            <w:hideMark/>
          </w:tcPr>
          <w:p w14:paraId="43CE69A1" w14:textId="405B41C5" w:rsidR="00C64C55" w:rsidRPr="00C64C55" w:rsidRDefault="00C64C55" w:rsidP="00C64C55">
            <w:pPr>
              <w:jc w:val="center"/>
              <w:rPr>
                <w:rFonts w:ascii="Arial" w:hAnsi="Arial" w:cs="Arial"/>
                <w:b/>
                <w:bCs/>
                <w:sz w:val="20"/>
                <w:lang w:eastAsia="bg-BG"/>
              </w:rPr>
            </w:pPr>
            <w:r>
              <w:rPr>
                <w:rFonts w:ascii="Arial" w:hAnsi="Arial" w:cs="Arial"/>
                <w:b/>
                <w:bCs/>
                <w:sz w:val="20"/>
                <w:lang w:eastAsia="bg-BG"/>
              </w:rPr>
              <w:t xml:space="preserve">                       9</w:t>
            </w:r>
            <w:r w:rsidRPr="00C64C55">
              <w:rPr>
                <w:rFonts w:ascii="Arial" w:hAnsi="Arial" w:cs="Arial"/>
                <w:b/>
                <w:bCs/>
                <w:sz w:val="20"/>
                <w:lang w:eastAsia="bg-BG"/>
              </w:rPr>
              <w:t xml:space="preserve"> 952 </w:t>
            </w:r>
          </w:p>
        </w:tc>
      </w:tr>
    </w:tbl>
    <w:p w14:paraId="3A2CDC9A" w14:textId="77777777" w:rsidR="00C64C55" w:rsidRDefault="00C64C55" w:rsidP="00896259"/>
    <w:p w14:paraId="708729AC" w14:textId="77777777" w:rsidR="00C64C55" w:rsidRDefault="00C64C55" w:rsidP="00433ECF"/>
    <w:p w14:paraId="0C56ABFD" w14:textId="77777777" w:rsidR="00C64C55" w:rsidRPr="00C64C55" w:rsidRDefault="00C64C55" w:rsidP="00433ECF"/>
    <w:p w14:paraId="76AA2C80" w14:textId="77777777" w:rsidR="00433ECF" w:rsidRPr="00B14C47" w:rsidRDefault="00433ECF" w:rsidP="00433ECF">
      <w:pPr>
        <w:rPr>
          <w:lang w:val="en-US"/>
        </w:rPr>
      </w:pPr>
    </w:p>
    <w:p w14:paraId="7F01E05D" w14:textId="77777777" w:rsidR="00CA29CF" w:rsidRPr="00B14C47" w:rsidRDefault="00CA29CF" w:rsidP="00C13396">
      <w:pPr>
        <w:autoSpaceDE w:val="0"/>
        <w:autoSpaceDN w:val="0"/>
        <w:adjustRightInd w:val="0"/>
        <w:rPr>
          <w:rFonts w:ascii="Arial" w:hAnsi="Arial" w:cs="Arial"/>
          <w:color w:val="000000"/>
          <w:sz w:val="20"/>
        </w:rPr>
      </w:pPr>
    </w:p>
    <w:p w14:paraId="2D3AB09D" w14:textId="77777777" w:rsidR="00A0345D" w:rsidRDefault="00B66DF8" w:rsidP="00B66DF8">
      <w:pPr>
        <w:pStyle w:val="Heading4"/>
        <w:rPr>
          <w:rFonts w:ascii="Arial" w:hAnsi="Arial" w:cs="Arial"/>
          <w:lang w:val="bg-BG"/>
        </w:rPr>
      </w:pPr>
      <w:bookmarkStart w:id="139" w:name="_Toc247959188"/>
      <w:bookmarkStart w:id="140" w:name="_Toc164268377"/>
      <w:r w:rsidRPr="00B14C47">
        <w:rPr>
          <w:rFonts w:ascii="Arial" w:hAnsi="Arial" w:cs="Arial"/>
          <w:lang w:val="bg-BG"/>
        </w:rPr>
        <w:t>2.</w:t>
      </w:r>
      <w:r w:rsidR="00B135BC" w:rsidRPr="00B14C47">
        <w:rPr>
          <w:rFonts w:ascii="Arial" w:hAnsi="Arial" w:cs="Arial"/>
          <w:lang w:val="bg-BG"/>
        </w:rPr>
        <w:t>4</w:t>
      </w:r>
      <w:r w:rsidRPr="00B14C47">
        <w:rPr>
          <w:rFonts w:ascii="Arial" w:hAnsi="Arial" w:cs="Arial"/>
          <w:lang w:val="bg-BG"/>
        </w:rPr>
        <w:t xml:space="preserve"> Парични средства</w:t>
      </w:r>
      <w:bookmarkEnd w:id="139"/>
      <w:bookmarkEnd w:id="140"/>
    </w:p>
    <w:p w14:paraId="35775F0D" w14:textId="77DC5B3C" w:rsidR="00D66436" w:rsidRDefault="00D66436" w:rsidP="00D66436"/>
    <w:tbl>
      <w:tblPr>
        <w:tblW w:w="5000" w:type="pct"/>
        <w:tblCellMar>
          <w:left w:w="70" w:type="dxa"/>
          <w:right w:w="70" w:type="dxa"/>
        </w:tblCellMar>
        <w:tblLook w:val="04A0" w:firstRow="1" w:lastRow="0" w:firstColumn="1" w:lastColumn="0" w:noHBand="0" w:noVBand="1"/>
      </w:tblPr>
      <w:tblGrid>
        <w:gridCol w:w="5432"/>
        <w:gridCol w:w="2017"/>
        <w:gridCol w:w="2158"/>
      </w:tblGrid>
      <w:tr w:rsidR="009B160C" w:rsidRPr="009B160C" w14:paraId="232D9E80" w14:textId="77777777" w:rsidTr="00CA29CF">
        <w:trPr>
          <w:trHeight w:val="264"/>
        </w:trPr>
        <w:tc>
          <w:tcPr>
            <w:tcW w:w="5000" w:type="pct"/>
            <w:gridSpan w:val="3"/>
            <w:tcBorders>
              <w:top w:val="nil"/>
              <w:left w:val="nil"/>
              <w:bottom w:val="single" w:sz="4" w:space="0" w:color="auto"/>
              <w:right w:val="nil"/>
            </w:tcBorders>
            <w:shd w:val="clear" w:color="000000" w:fill="C0C0C0"/>
            <w:noWrap/>
            <w:vAlign w:val="bottom"/>
            <w:hideMark/>
          </w:tcPr>
          <w:p w14:paraId="4B44A2FD" w14:textId="77777777"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Парични средства</w:t>
            </w:r>
          </w:p>
        </w:tc>
      </w:tr>
      <w:tr w:rsidR="009B160C" w:rsidRPr="009B160C" w14:paraId="0D52C224" w14:textId="77777777" w:rsidTr="00CA29CF">
        <w:trPr>
          <w:trHeight w:val="264"/>
        </w:trPr>
        <w:tc>
          <w:tcPr>
            <w:tcW w:w="2827" w:type="pct"/>
            <w:tcBorders>
              <w:top w:val="nil"/>
              <w:left w:val="single" w:sz="4" w:space="0" w:color="auto"/>
              <w:bottom w:val="single" w:sz="4" w:space="0" w:color="auto"/>
              <w:right w:val="nil"/>
            </w:tcBorders>
            <w:shd w:val="clear" w:color="auto" w:fill="auto"/>
            <w:noWrap/>
            <w:vAlign w:val="bottom"/>
            <w:hideMark/>
          </w:tcPr>
          <w:p w14:paraId="28265F21"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Вид</w:t>
            </w:r>
          </w:p>
        </w:tc>
        <w:tc>
          <w:tcPr>
            <w:tcW w:w="1050" w:type="pct"/>
            <w:tcBorders>
              <w:top w:val="nil"/>
              <w:left w:val="single" w:sz="4" w:space="0" w:color="auto"/>
              <w:bottom w:val="single" w:sz="4" w:space="0" w:color="auto"/>
              <w:right w:val="single" w:sz="4" w:space="0" w:color="auto"/>
            </w:tcBorders>
            <w:shd w:val="clear" w:color="auto" w:fill="auto"/>
            <w:noWrap/>
            <w:vAlign w:val="bottom"/>
            <w:hideMark/>
          </w:tcPr>
          <w:p w14:paraId="631C4B87" w14:textId="4BC8B18B" w:rsidR="009B160C" w:rsidRPr="009B160C" w:rsidRDefault="00C64C55" w:rsidP="009B160C">
            <w:pPr>
              <w:jc w:val="center"/>
              <w:rPr>
                <w:rFonts w:ascii="Arial" w:hAnsi="Arial" w:cs="Arial"/>
                <w:b/>
                <w:bCs/>
                <w:sz w:val="20"/>
                <w:lang w:eastAsia="bg-BG"/>
              </w:rPr>
            </w:pPr>
            <w:r>
              <w:rPr>
                <w:rFonts w:ascii="Arial" w:hAnsi="Arial" w:cs="Arial"/>
                <w:b/>
                <w:bCs/>
                <w:sz w:val="20"/>
                <w:lang w:eastAsia="bg-BG"/>
              </w:rPr>
              <w:t>30.06</w:t>
            </w:r>
            <w:r w:rsidR="00F06B46">
              <w:rPr>
                <w:rFonts w:ascii="Arial" w:hAnsi="Arial" w:cs="Arial"/>
                <w:b/>
                <w:bCs/>
                <w:sz w:val="20"/>
                <w:lang w:eastAsia="bg-BG"/>
              </w:rPr>
              <w:t>.2024</w:t>
            </w:r>
            <w:r w:rsidR="009B160C" w:rsidRPr="009B160C">
              <w:rPr>
                <w:rFonts w:ascii="Arial" w:hAnsi="Arial" w:cs="Arial"/>
                <w:b/>
                <w:bCs/>
                <w:sz w:val="20"/>
                <w:lang w:eastAsia="bg-BG"/>
              </w:rPr>
              <w:t xml:space="preserve"> г.</w:t>
            </w:r>
          </w:p>
        </w:tc>
        <w:tc>
          <w:tcPr>
            <w:tcW w:w="1122" w:type="pct"/>
            <w:tcBorders>
              <w:top w:val="nil"/>
              <w:left w:val="nil"/>
              <w:bottom w:val="single" w:sz="4" w:space="0" w:color="auto"/>
              <w:right w:val="single" w:sz="4" w:space="0" w:color="auto"/>
            </w:tcBorders>
            <w:shd w:val="clear" w:color="auto" w:fill="auto"/>
            <w:noWrap/>
            <w:vAlign w:val="bottom"/>
            <w:hideMark/>
          </w:tcPr>
          <w:p w14:paraId="4F8A7261" w14:textId="020E2423" w:rsidR="009B160C" w:rsidRPr="009B160C" w:rsidRDefault="00A80B93" w:rsidP="009B160C">
            <w:pPr>
              <w:jc w:val="center"/>
              <w:rPr>
                <w:rFonts w:ascii="Arial" w:hAnsi="Arial" w:cs="Arial"/>
                <w:b/>
                <w:bCs/>
                <w:sz w:val="20"/>
                <w:lang w:eastAsia="bg-BG"/>
              </w:rPr>
            </w:pPr>
            <w:r>
              <w:rPr>
                <w:rFonts w:ascii="Arial" w:hAnsi="Arial" w:cs="Arial"/>
                <w:b/>
                <w:bCs/>
                <w:sz w:val="20"/>
                <w:lang w:eastAsia="bg-BG"/>
              </w:rPr>
              <w:t>31.12.2023</w:t>
            </w:r>
            <w:r w:rsidR="009B160C" w:rsidRPr="009B160C">
              <w:rPr>
                <w:rFonts w:ascii="Arial" w:hAnsi="Arial" w:cs="Arial"/>
                <w:b/>
                <w:bCs/>
                <w:sz w:val="20"/>
                <w:lang w:eastAsia="bg-BG"/>
              </w:rPr>
              <w:t xml:space="preserve"> г.</w:t>
            </w:r>
          </w:p>
        </w:tc>
      </w:tr>
      <w:tr w:rsidR="009B160C" w:rsidRPr="009B160C" w14:paraId="1635F44E" w14:textId="77777777" w:rsidTr="00CA29CF">
        <w:trPr>
          <w:trHeight w:val="264"/>
        </w:trPr>
        <w:tc>
          <w:tcPr>
            <w:tcW w:w="2827" w:type="pct"/>
            <w:tcBorders>
              <w:top w:val="nil"/>
              <w:left w:val="single" w:sz="4" w:space="0" w:color="auto"/>
              <w:bottom w:val="single" w:sz="4" w:space="0" w:color="auto"/>
              <w:right w:val="nil"/>
            </w:tcBorders>
            <w:shd w:val="clear" w:color="auto" w:fill="auto"/>
            <w:noWrap/>
            <w:vAlign w:val="bottom"/>
            <w:hideMark/>
          </w:tcPr>
          <w:p w14:paraId="3AEE9CD2" w14:textId="065AAA84" w:rsidR="009B160C" w:rsidRPr="009B160C" w:rsidRDefault="00A80B93" w:rsidP="009B160C">
            <w:pPr>
              <w:jc w:val="left"/>
              <w:rPr>
                <w:rFonts w:ascii="Arial" w:hAnsi="Arial" w:cs="Arial"/>
                <w:b/>
                <w:bCs/>
                <w:sz w:val="20"/>
                <w:lang w:eastAsia="bg-BG"/>
              </w:rPr>
            </w:pPr>
            <w:r>
              <w:rPr>
                <w:rFonts w:ascii="Arial" w:hAnsi="Arial" w:cs="Arial"/>
                <w:b/>
                <w:bCs/>
                <w:sz w:val="20"/>
                <w:lang w:eastAsia="bg-BG"/>
              </w:rPr>
              <w:t>Парични средства в разплащателни сметки</w:t>
            </w:r>
            <w:r w:rsidR="009B160C" w:rsidRPr="009B160C">
              <w:rPr>
                <w:rFonts w:ascii="Arial" w:hAnsi="Arial" w:cs="Arial"/>
                <w:b/>
                <w:bCs/>
                <w:sz w:val="20"/>
                <w:lang w:eastAsia="bg-BG"/>
              </w:rPr>
              <w:t>, в т.ч.:</w:t>
            </w:r>
          </w:p>
        </w:tc>
        <w:tc>
          <w:tcPr>
            <w:tcW w:w="1050" w:type="pct"/>
            <w:tcBorders>
              <w:top w:val="nil"/>
              <w:left w:val="single" w:sz="4" w:space="0" w:color="auto"/>
              <w:bottom w:val="single" w:sz="4" w:space="0" w:color="auto"/>
              <w:right w:val="single" w:sz="4" w:space="0" w:color="auto"/>
            </w:tcBorders>
            <w:shd w:val="clear" w:color="auto" w:fill="auto"/>
            <w:noWrap/>
            <w:vAlign w:val="bottom"/>
            <w:hideMark/>
          </w:tcPr>
          <w:p w14:paraId="6F02F18A"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 </w:t>
            </w:r>
          </w:p>
        </w:tc>
        <w:tc>
          <w:tcPr>
            <w:tcW w:w="1122" w:type="pct"/>
            <w:tcBorders>
              <w:top w:val="nil"/>
              <w:left w:val="nil"/>
              <w:bottom w:val="single" w:sz="4" w:space="0" w:color="auto"/>
              <w:right w:val="single" w:sz="4" w:space="0" w:color="auto"/>
            </w:tcBorders>
            <w:shd w:val="clear" w:color="auto" w:fill="auto"/>
            <w:noWrap/>
            <w:vAlign w:val="bottom"/>
            <w:hideMark/>
          </w:tcPr>
          <w:p w14:paraId="5EF91F63" w14:textId="2B85A682" w:rsidR="009B160C" w:rsidRPr="009B160C" w:rsidRDefault="00A80B93" w:rsidP="009B160C">
            <w:pPr>
              <w:jc w:val="left"/>
              <w:rPr>
                <w:rFonts w:ascii="Arial" w:hAnsi="Arial" w:cs="Arial"/>
                <w:b/>
                <w:bCs/>
                <w:sz w:val="20"/>
                <w:lang w:eastAsia="bg-BG"/>
              </w:rPr>
            </w:pPr>
            <w:r>
              <w:rPr>
                <w:rFonts w:ascii="Arial" w:hAnsi="Arial" w:cs="Arial"/>
                <w:b/>
                <w:bCs/>
                <w:sz w:val="20"/>
                <w:lang w:eastAsia="bg-BG"/>
              </w:rPr>
              <w:t xml:space="preserve">                     -</w:t>
            </w:r>
            <w:r w:rsidR="009B160C" w:rsidRPr="009B160C">
              <w:rPr>
                <w:rFonts w:ascii="Arial" w:hAnsi="Arial" w:cs="Arial"/>
                <w:b/>
                <w:bCs/>
                <w:sz w:val="20"/>
                <w:lang w:eastAsia="bg-BG"/>
              </w:rPr>
              <w:t xml:space="preserve"> </w:t>
            </w:r>
          </w:p>
        </w:tc>
      </w:tr>
      <w:tr w:rsidR="009B160C" w:rsidRPr="009B160C" w14:paraId="0C613E43" w14:textId="77777777" w:rsidTr="00CA29CF">
        <w:trPr>
          <w:trHeight w:val="264"/>
        </w:trPr>
        <w:tc>
          <w:tcPr>
            <w:tcW w:w="2827" w:type="pct"/>
            <w:tcBorders>
              <w:top w:val="nil"/>
              <w:left w:val="single" w:sz="4" w:space="0" w:color="auto"/>
              <w:bottom w:val="single" w:sz="4" w:space="0" w:color="auto"/>
              <w:right w:val="nil"/>
            </w:tcBorders>
            <w:shd w:val="clear" w:color="auto" w:fill="auto"/>
            <w:noWrap/>
            <w:vAlign w:val="bottom"/>
            <w:hideMark/>
          </w:tcPr>
          <w:p w14:paraId="2EEA17EC"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В лева</w:t>
            </w:r>
          </w:p>
        </w:tc>
        <w:tc>
          <w:tcPr>
            <w:tcW w:w="1050" w:type="pct"/>
            <w:tcBorders>
              <w:top w:val="nil"/>
              <w:left w:val="single" w:sz="4" w:space="0" w:color="auto"/>
              <w:bottom w:val="single" w:sz="4" w:space="0" w:color="auto"/>
              <w:right w:val="single" w:sz="4" w:space="0" w:color="auto"/>
            </w:tcBorders>
            <w:shd w:val="clear" w:color="auto" w:fill="auto"/>
            <w:noWrap/>
            <w:vAlign w:val="bottom"/>
            <w:hideMark/>
          </w:tcPr>
          <w:p w14:paraId="65A48C6D" w14:textId="6D33028E"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w:t>
            </w:r>
            <w:r w:rsidR="00C64C55">
              <w:rPr>
                <w:rFonts w:ascii="Arial" w:hAnsi="Arial" w:cs="Arial"/>
                <w:sz w:val="20"/>
                <w:lang w:eastAsia="bg-BG"/>
              </w:rPr>
              <w:t xml:space="preserve">                   3</w:t>
            </w:r>
          </w:p>
        </w:tc>
        <w:tc>
          <w:tcPr>
            <w:tcW w:w="1122" w:type="pct"/>
            <w:tcBorders>
              <w:top w:val="nil"/>
              <w:left w:val="nil"/>
              <w:bottom w:val="single" w:sz="4" w:space="0" w:color="auto"/>
              <w:right w:val="single" w:sz="4" w:space="0" w:color="auto"/>
            </w:tcBorders>
            <w:shd w:val="clear" w:color="auto" w:fill="auto"/>
            <w:noWrap/>
            <w:vAlign w:val="bottom"/>
            <w:hideMark/>
          </w:tcPr>
          <w:p w14:paraId="74AC2DAD" w14:textId="742BBD5F" w:rsidR="009B160C" w:rsidRPr="009B160C" w:rsidRDefault="00A80B93" w:rsidP="009B160C">
            <w:pPr>
              <w:jc w:val="left"/>
              <w:rPr>
                <w:rFonts w:ascii="Arial" w:hAnsi="Arial" w:cs="Arial"/>
                <w:sz w:val="20"/>
                <w:lang w:eastAsia="bg-BG"/>
              </w:rPr>
            </w:pPr>
            <w:r>
              <w:rPr>
                <w:rFonts w:ascii="Arial" w:hAnsi="Arial" w:cs="Arial"/>
                <w:sz w:val="20"/>
                <w:lang w:eastAsia="bg-BG"/>
              </w:rPr>
              <w:t xml:space="preserve">                     </w:t>
            </w:r>
            <w:r w:rsidR="009B160C" w:rsidRPr="009B160C">
              <w:rPr>
                <w:rFonts w:ascii="Arial" w:hAnsi="Arial" w:cs="Arial"/>
                <w:sz w:val="20"/>
                <w:lang w:eastAsia="bg-BG"/>
              </w:rPr>
              <w:t xml:space="preserve"> </w:t>
            </w:r>
          </w:p>
        </w:tc>
      </w:tr>
      <w:tr w:rsidR="009B160C" w:rsidRPr="009B160C" w14:paraId="31028C24" w14:textId="77777777" w:rsidTr="00CA29CF">
        <w:trPr>
          <w:trHeight w:val="264"/>
        </w:trPr>
        <w:tc>
          <w:tcPr>
            <w:tcW w:w="2827" w:type="pct"/>
            <w:tcBorders>
              <w:top w:val="nil"/>
              <w:left w:val="single" w:sz="4" w:space="0" w:color="auto"/>
              <w:bottom w:val="single" w:sz="4" w:space="0" w:color="auto"/>
              <w:right w:val="nil"/>
            </w:tcBorders>
            <w:shd w:val="clear" w:color="000000" w:fill="00AEEF"/>
            <w:noWrap/>
            <w:vAlign w:val="bottom"/>
            <w:hideMark/>
          </w:tcPr>
          <w:p w14:paraId="099E3FEC"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Общо</w:t>
            </w:r>
          </w:p>
        </w:tc>
        <w:tc>
          <w:tcPr>
            <w:tcW w:w="1050" w:type="pct"/>
            <w:tcBorders>
              <w:top w:val="nil"/>
              <w:left w:val="single" w:sz="4" w:space="0" w:color="auto"/>
              <w:bottom w:val="single" w:sz="4" w:space="0" w:color="auto"/>
              <w:right w:val="single" w:sz="4" w:space="0" w:color="auto"/>
            </w:tcBorders>
            <w:shd w:val="clear" w:color="000000" w:fill="00AEEF"/>
            <w:noWrap/>
            <w:vAlign w:val="bottom"/>
            <w:hideMark/>
          </w:tcPr>
          <w:p w14:paraId="17070153" w14:textId="0CA67F02" w:rsidR="009B160C" w:rsidRPr="009B160C" w:rsidRDefault="00C64C55" w:rsidP="009B160C">
            <w:pPr>
              <w:jc w:val="left"/>
              <w:rPr>
                <w:rFonts w:ascii="Arial" w:hAnsi="Arial" w:cs="Arial"/>
                <w:b/>
                <w:bCs/>
                <w:sz w:val="20"/>
                <w:lang w:eastAsia="bg-BG"/>
              </w:rPr>
            </w:pPr>
            <w:r>
              <w:rPr>
                <w:rFonts w:ascii="Arial" w:hAnsi="Arial" w:cs="Arial"/>
                <w:b/>
                <w:bCs/>
                <w:sz w:val="20"/>
                <w:lang w:eastAsia="bg-BG"/>
              </w:rPr>
              <w:t xml:space="preserve">                    3</w:t>
            </w:r>
            <w:r w:rsidR="009B160C" w:rsidRPr="009B160C">
              <w:rPr>
                <w:rFonts w:ascii="Arial" w:hAnsi="Arial" w:cs="Arial"/>
                <w:b/>
                <w:bCs/>
                <w:sz w:val="20"/>
                <w:lang w:eastAsia="bg-BG"/>
              </w:rPr>
              <w:t xml:space="preserve"> </w:t>
            </w:r>
          </w:p>
        </w:tc>
        <w:tc>
          <w:tcPr>
            <w:tcW w:w="1122" w:type="pct"/>
            <w:tcBorders>
              <w:top w:val="nil"/>
              <w:left w:val="nil"/>
              <w:bottom w:val="single" w:sz="4" w:space="0" w:color="auto"/>
              <w:right w:val="single" w:sz="4" w:space="0" w:color="auto"/>
            </w:tcBorders>
            <w:shd w:val="clear" w:color="000000" w:fill="00AEEF"/>
            <w:noWrap/>
            <w:vAlign w:val="bottom"/>
            <w:hideMark/>
          </w:tcPr>
          <w:p w14:paraId="02CA96A9" w14:textId="7C573E5D" w:rsidR="009B160C" w:rsidRPr="009B160C" w:rsidRDefault="00A80B93" w:rsidP="009B160C">
            <w:pPr>
              <w:jc w:val="left"/>
              <w:rPr>
                <w:rFonts w:ascii="Arial" w:hAnsi="Arial" w:cs="Arial"/>
                <w:b/>
                <w:bCs/>
                <w:sz w:val="20"/>
                <w:lang w:eastAsia="bg-BG"/>
              </w:rPr>
            </w:pPr>
            <w:r>
              <w:rPr>
                <w:rFonts w:ascii="Arial" w:hAnsi="Arial" w:cs="Arial"/>
                <w:b/>
                <w:bCs/>
                <w:sz w:val="20"/>
                <w:lang w:eastAsia="bg-BG"/>
              </w:rPr>
              <w:t xml:space="preserve">                     </w:t>
            </w:r>
            <w:r w:rsidR="009B160C" w:rsidRPr="009B160C">
              <w:rPr>
                <w:rFonts w:ascii="Arial" w:hAnsi="Arial" w:cs="Arial"/>
                <w:b/>
                <w:bCs/>
                <w:sz w:val="20"/>
                <w:lang w:eastAsia="bg-BG"/>
              </w:rPr>
              <w:t xml:space="preserve"> </w:t>
            </w:r>
          </w:p>
        </w:tc>
      </w:tr>
    </w:tbl>
    <w:p w14:paraId="5BA5170A" w14:textId="77777777" w:rsidR="009B160C" w:rsidRDefault="009B160C" w:rsidP="00D66436"/>
    <w:p w14:paraId="741310B3" w14:textId="77777777" w:rsidR="00A80B93" w:rsidRDefault="00A80B93" w:rsidP="007249BB">
      <w:pPr>
        <w:pStyle w:val="Heading4"/>
        <w:rPr>
          <w:rFonts w:ascii="Arial" w:hAnsi="Arial" w:cs="Arial"/>
          <w:lang w:val="bg-BG"/>
        </w:rPr>
      </w:pPr>
      <w:bookmarkStart w:id="141" w:name="_Toc247959190"/>
    </w:p>
    <w:p w14:paraId="6FB95A08" w14:textId="77777777" w:rsidR="00742F1D" w:rsidRPr="00B14C47" w:rsidRDefault="007249BB" w:rsidP="007249BB">
      <w:pPr>
        <w:pStyle w:val="Heading4"/>
        <w:rPr>
          <w:rFonts w:ascii="Arial" w:hAnsi="Arial" w:cs="Arial"/>
          <w:lang w:val="bg-BG"/>
        </w:rPr>
      </w:pPr>
      <w:bookmarkStart w:id="142" w:name="_Toc164268378"/>
      <w:r w:rsidRPr="00B14C47">
        <w:rPr>
          <w:rFonts w:ascii="Arial" w:hAnsi="Arial" w:cs="Arial"/>
          <w:lang w:val="bg-BG"/>
        </w:rPr>
        <w:t>2.</w:t>
      </w:r>
      <w:r w:rsidR="00B135BC" w:rsidRPr="00B14C47">
        <w:rPr>
          <w:rFonts w:ascii="Arial" w:hAnsi="Arial" w:cs="Arial"/>
          <w:lang w:val="bg-BG"/>
        </w:rPr>
        <w:t>5</w:t>
      </w:r>
      <w:r w:rsidRPr="00B14C47">
        <w:rPr>
          <w:rFonts w:ascii="Arial" w:hAnsi="Arial" w:cs="Arial"/>
          <w:lang w:val="bg-BG"/>
        </w:rPr>
        <w:t>. Собствен капитал</w:t>
      </w:r>
      <w:bookmarkEnd w:id="142"/>
      <w:r w:rsidRPr="00B14C47">
        <w:rPr>
          <w:rFonts w:ascii="Arial" w:hAnsi="Arial" w:cs="Arial"/>
          <w:lang w:val="bg-BG"/>
        </w:rPr>
        <w:t xml:space="preserve"> </w:t>
      </w:r>
    </w:p>
    <w:p w14:paraId="34BFE855" w14:textId="77777777" w:rsidR="008402AB" w:rsidRPr="00B14C47" w:rsidRDefault="008402AB" w:rsidP="003833F6">
      <w:pPr>
        <w:rPr>
          <w:rFonts w:ascii="Arial" w:hAnsi="Arial" w:cs="Arial"/>
          <w:color w:val="4472C4" w:themeColor="accent1"/>
        </w:rPr>
      </w:pPr>
      <w:r w:rsidRPr="00B14C47">
        <w:rPr>
          <w:rFonts w:ascii="Arial" w:hAnsi="Arial" w:cs="Arial"/>
          <w:color w:val="4472C4" w:themeColor="accent1"/>
        </w:rPr>
        <w:t>2.</w:t>
      </w:r>
      <w:r w:rsidR="00B135BC" w:rsidRPr="00B14C47">
        <w:rPr>
          <w:rFonts w:ascii="Arial" w:hAnsi="Arial" w:cs="Arial"/>
          <w:color w:val="4472C4" w:themeColor="accent1"/>
        </w:rPr>
        <w:t>5</w:t>
      </w:r>
      <w:r w:rsidRPr="00B14C47">
        <w:rPr>
          <w:rFonts w:ascii="Arial" w:hAnsi="Arial" w:cs="Arial"/>
          <w:color w:val="4472C4" w:themeColor="accent1"/>
        </w:rPr>
        <w:t xml:space="preserve">.1. </w:t>
      </w:r>
      <w:r w:rsidR="000F643F" w:rsidRPr="00B14C47">
        <w:rPr>
          <w:rFonts w:ascii="Arial" w:hAnsi="Arial" w:cs="Arial"/>
          <w:color w:val="4472C4" w:themeColor="accent1"/>
        </w:rPr>
        <w:t>Основен капитал</w:t>
      </w:r>
    </w:p>
    <w:p w14:paraId="4140CF6F" w14:textId="77777777" w:rsidR="002D0F6E" w:rsidRDefault="002D0F6E" w:rsidP="003833F6">
      <w:pPr>
        <w:rPr>
          <w:rFonts w:ascii="Arial" w:hAnsi="Arial" w:cs="Arial"/>
          <w:color w:val="4472C4" w:themeColor="accent1"/>
        </w:rPr>
      </w:pPr>
    </w:p>
    <w:p w14:paraId="15D856E5" w14:textId="33468BFC" w:rsidR="00A80B93" w:rsidRDefault="00C64C55" w:rsidP="003833F6">
      <w:pPr>
        <w:rPr>
          <w:rFonts w:ascii="Arial" w:hAnsi="Arial" w:cs="Arial"/>
          <w:color w:val="4472C4" w:themeColor="accent1"/>
        </w:rPr>
      </w:pPr>
      <w:r w:rsidRPr="0046182B">
        <w:rPr>
          <w:noProof/>
        </w:rPr>
        <w:drawing>
          <wp:inline distT="0" distB="0" distL="0" distR="0" wp14:anchorId="34751F89" wp14:editId="3DB0EACE">
            <wp:extent cx="6011545" cy="1264920"/>
            <wp:effectExtent l="0" t="0" r="8255"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1545" cy="1264920"/>
                    </a:xfrm>
                    <a:prstGeom prst="rect">
                      <a:avLst/>
                    </a:prstGeom>
                    <a:noFill/>
                    <a:ln>
                      <a:noFill/>
                    </a:ln>
                  </pic:spPr>
                </pic:pic>
              </a:graphicData>
            </a:graphic>
          </wp:inline>
        </w:drawing>
      </w:r>
    </w:p>
    <w:p w14:paraId="278A3B2D" w14:textId="77777777" w:rsidR="00A80B93" w:rsidRDefault="00A80B93" w:rsidP="003833F6">
      <w:pPr>
        <w:rPr>
          <w:rFonts w:ascii="Arial" w:hAnsi="Arial" w:cs="Arial"/>
          <w:color w:val="4472C4" w:themeColor="accent1"/>
        </w:rPr>
      </w:pPr>
    </w:p>
    <w:p w14:paraId="70F4B263" w14:textId="6138C59B" w:rsidR="00CA29CF" w:rsidRPr="00A80B93" w:rsidRDefault="00CA29CF" w:rsidP="00A80B93">
      <w:pPr>
        <w:rPr>
          <w:rFonts w:ascii="Arial" w:hAnsi="Arial" w:cs="Arial"/>
          <w:color w:val="4472C4" w:themeColor="accent1"/>
        </w:rPr>
      </w:pPr>
      <w:bookmarkStart w:id="143" w:name="_Toc96871905"/>
      <w:bookmarkEnd w:id="141"/>
    </w:p>
    <w:p w14:paraId="353A395E" w14:textId="5F879F3C" w:rsidR="00B66DF8" w:rsidRPr="00B14C47" w:rsidRDefault="0076262B" w:rsidP="00B66DF8">
      <w:pPr>
        <w:pStyle w:val="Heading4"/>
        <w:rPr>
          <w:rFonts w:ascii="Arial" w:hAnsi="Arial" w:cs="Arial"/>
          <w:lang w:val="bg-BG"/>
        </w:rPr>
      </w:pPr>
      <w:bookmarkStart w:id="144" w:name="_Toc164268379"/>
      <w:r w:rsidRPr="00B14C47">
        <w:rPr>
          <w:rFonts w:ascii="Arial" w:hAnsi="Arial" w:cs="Arial"/>
          <w:lang w:val="bg-BG"/>
        </w:rPr>
        <w:t>2.5.2.</w:t>
      </w:r>
      <w:r w:rsidR="000F643F" w:rsidRPr="00B14C47">
        <w:rPr>
          <w:rFonts w:ascii="Arial" w:hAnsi="Arial" w:cs="Arial"/>
          <w:lang w:val="bg-BG"/>
        </w:rPr>
        <w:t>Премии от емисии</w:t>
      </w:r>
      <w:bookmarkEnd w:id="143"/>
      <w:bookmarkEnd w:id="144"/>
    </w:p>
    <w:p w14:paraId="15B795EE" w14:textId="77777777" w:rsidR="000F643F" w:rsidRPr="00B14C47" w:rsidRDefault="000F643F" w:rsidP="000F643F">
      <w:pPr>
        <w:pStyle w:val="Heading4"/>
        <w:rPr>
          <w:rFonts w:ascii="Arial" w:hAnsi="Arial" w:cs="Arial"/>
          <w:b w:val="0"/>
          <w:i w:val="0"/>
          <w:color w:val="auto"/>
        </w:rPr>
      </w:pPr>
      <w:bookmarkStart w:id="145" w:name="_Toc4683420"/>
      <w:bookmarkStart w:id="146" w:name="_Toc4685314"/>
      <w:bookmarkStart w:id="147" w:name="_Toc4692208"/>
      <w:bookmarkStart w:id="148" w:name="_Toc62484362"/>
      <w:bookmarkStart w:id="149" w:name="_Toc67568182"/>
      <w:bookmarkStart w:id="150" w:name="_Toc96871906"/>
      <w:bookmarkStart w:id="151" w:name="_Toc129350898"/>
      <w:bookmarkStart w:id="152" w:name="_Toc160806742"/>
      <w:bookmarkStart w:id="153" w:name="_Toc164268380"/>
      <w:r w:rsidRPr="00B14C47">
        <w:rPr>
          <w:rFonts w:ascii="Arial" w:hAnsi="Arial" w:cs="Arial"/>
          <w:b w:val="0"/>
          <w:i w:val="0"/>
          <w:color w:val="auto"/>
        </w:rPr>
        <w:t>На 29.07.2008г. е вписано увеличение на капитала на дружеството, което става с публично предлагане на нови акции. Формирана е премия от емисии в размер на 10 072 хил.лв.</w:t>
      </w:r>
      <w:bookmarkEnd w:id="145"/>
      <w:bookmarkEnd w:id="146"/>
      <w:bookmarkEnd w:id="147"/>
      <w:bookmarkEnd w:id="148"/>
      <w:bookmarkEnd w:id="149"/>
      <w:bookmarkEnd w:id="150"/>
      <w:bookmarkEnd w:id="151"/>
      <w:bookmarkEnd w:id="152"/>
      <w:bookmarkEnd w:id="153"/>
    </w:p>
    <w:p w14:paraId="3EFF8994" w14:textId="77777777" w:rsidR="00B66DF8" w:rsidRDefault="00B66DF8" w:rsidP="00B66DF8">
      <w:pPr>
        <w:pStyle w:val="Heading4"/>
        <w:rPr>
          <w:rFonts w:ascii="Arial" w:hAnsi="Arial" w:cs="Arial"/>
          <w:lang w:val="bg-BG"/>
        </w:rPr>
      </w:pPr>
      <w:bookmarkStart w:id="154" w:name="_Toc247959192"/>
      <w:bookmarkStart w:id="155" w:name="_Toc164268381"/>
      <w:r w:rsidRPr="00B14C47">
        <w:rPr>
          <w:rFonts w:ascii="Arial" w:hAnsi="Arial" w:cs="Arial"/>
          <w:lang w:val="bg-BG"/>
        </w:rPr>
        <w:t>2.</w:t>
      </w:r>
      <w:r w:rsidR="000F643F" w:rsidRPr="00B14C47">
        <w:rPr>
          <w:rFonts w:ascii="Arial" w:hAnsi="Arial" w:cs="Arial"/>
          <w:lang w:val="bg-BG"/>
        </w:rPr>
        <w:t>5</w:t>
      </w:r>
      <w:r w:rsidR="002571A2" w:rsidRPr="00B14C47">
        <w:rPr>
          <w:rFonts w:ascii="Arial" w:hAnsi="Arial" w:cs="Arial"/>
          <w:lang w:val="bg-BG"/>
        </w:rPr>
        <w:t>.</w:t>
      </w:r>
      <w:r w:rsidR="0076262B" w:rsidRPr="00B14C47">
        <w:rPr>
          <w:rFonts w:ascii="Arial" w:hAnsi="Arial" w:cs="Arial"/>
        </w:rPr>
        <w:t>3</w:t>
      </w:r>
      <w:r w:rsidRPr="00B14C47">
        <w:rPr>
          <w:rFonts w:ascii="Arial" w:hAnsi="Arial" w:cs="Arial"/>
          <w:lang w:val="bg-BG"/>
        </w:rPr>
        <w:t>. Финансов резултат</w:t>
      </w:r>
      <w:bookmarkEnd w:id="154"/>
      <w:bookmarkEnd w:id="155"/>
    </w:p>
    <w:p w14:paraId="69F6E405" w14:textId="77777777" w:rsidR="00A80B93" w:rsidRDefault="00A80B93" w:rsidP="00A80B93"/>
    <w:tbl>
      <w:tblPr>
        <w:tblW w:w="6476" w:type="dxa"/>
        <w:tblInd w:w="70" w:type="dxa"/>
        <w:tblCellMar>
          <w:left w:w="70" w:type="dxa"/>
          <w:right w:w="70" w:type="dxa"/>
        </w:tblCellMar>
        <w:tblLook w:val="04A0" w:firstRow="1" w:lastRow="0" w:firstColumn="1" w:lastColumn="0" w:noHBand="0" w:noVBand="1"/>
      </w:tblPr>
      <w:tblGrid>
        <w:gridCol w:w="4930"/>
        <w:gridCol w:w="1546"/>
      </w:tblGrid>
      <w:tr w:rsidR="00C64C55" w:rsidRPr="00C64C55" w14:paraId="4D823F14" w14:textId="77777777" w:rsidTr="00C64C55">
        <w:trPr>
          <w:trHeight w:val="255"/>
        </w:trPr>
        <w:tc>
          <w:tcPr>
            <w:tcW w:w="6476" w:type="dxa"/>
            <w:gridSpan w:val="2"/>
            <w:tcBorders>
              <w:top w:val="nil"/>
              <w:left w:val="nil"/>
              <w:bottom w:val="single" w:sz="4" w:space="0" w:color="auto"/>
              <w:right w:val="nil"/>
            </w:tcBorders>
            <w:shd w:val="clear" w:color="000000" w:fill="C0C0C0"/>
            <w:noWrap/>
            <w:vAlign w:val="bottom"/>
            <w:hideMark/>
          </w:tcPr>
          <w:p w14:paraId="5FBF6B3F"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Финансов резултат</w:t>
            </w:r>
          </w:p>
        </w:tc>
      </w:tr>
      <w:tr w:rsidR="00C64C55" w:rsidRPr="00C64C55" w14:paraId="5294A605" w14:textId="77777777" w:rsidTr="00C64C55">
        <w:trPr>
          <w:trHeight w:val="278"/>
        </w:trPr>
        <w:tc>
          <w:tcPr>
            <w:tcW w:w="4930" w:type="dxa"/>
            <w:tcBorders>
              <w:top w:val="nil"/>
              <w:left w:val="single" w:sz="4" w:space="0" w:color="auto"/>
              <w:bottom w:val="single" w:sz="4" w:space="0" w:color="auto"/>
              <w:right w:val="single" w:sz="4" w:space="0" w:color="auto"/>
            </w:tcBorders>
            <w:shd w:val="clear" w:color="auto" w:fill="auto"/>
            <w:noWrap/>
            <w:vAlign w:val="bottom"/>
            <w:hideMark/>
          </w:tcPr>
          <w:p w14:paraId="18BAD163"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Финансов резултат</w:t>
            </w:r>
          </w:p>
        </w:tc>
        <w:tc>
          <w:tcPr>
            <w:tcW w:w="1546" w:type="dxa"/>
            <w:tcBorders>
              <w:top w:val="nil"/>
              <w:left w:val="nil"/>
              <w:bottom w:val="single" w:sz="4" w:space="0" w:color="auto"/>
              <w:right w:val="single" w:sz="4" w:space="0" w:color="auto"/>
            </w:tcBorders>
            <w:shd w:val="clear" w:color="auto" w:fill="auto"/>
            <w:noWrap/>
            <w:vAlign w:val="bottom"/>
            <w:hideMark/>
          </w:tcPr>
          <w:p w14:paraId="51FF84C0" w14:textId="77777777" w:rsidR="00C64C55" w:rsidRPr="00C64C55" w:rsidRDefault="00C64C55" w:rsidP="00C64C55">
            <w:pPr>
              <w:jc w:val="center"/>
              <w:rPr>
                <w:rFonts w:ascii="Arial" w:hAnsi="Arial" w:cs="Arial"/>
                <w:b/>
                <w:bCs/>
                <w:sz w:val="20"/>
                <w:lang w:eastAsia="bg-BG"/>
              </w:rPr>
            </w:pPr>
            <w:r w:rsidRPr="00C64C55">
              <w:rPr>
                <w:rFonts w:ascii="Arial" w:hAnsi="Arial" w:cs="Arial"/>
                <w:b/>
                <w:bCs/>
                <w:sz w:val="20"/>
                <w:lang w:eastAsia="bg-BG"/>
              </w:rPr>
              <w:t>Стойност</w:t>
            </w:r>
          </w:p>
        </w:tc>
      </w:tr>
      <w:tr w:rsidR="00C64C55" w:rsidRPr="00C64C55" w14:paraId="6B2C276D" w14:textId="77777777" w:rsidTr="00C64C55">
        <w:trPr>
          <w:trHeight w:val="255"/>
        </w:trPr>
        <w:tc>
          <w:tcPr>
            <w:tcW w:w="4930" w:type="dxa"/>
            <w:tcBorders>
              <w:top w:val="nil"/>
              <w:left w:val="single" w:sz="4" w:space="0" w:color="auto"/>
              <w:bottom w:val="single" w:sz="4" w:space="0" w:color="auto"/>
              <w:right w:val="single" w:sz="4" w:space="0" w:color="auto"/>
            </w:tcBorders>
            <w:shd w:val="clear" w:color="auto" w:fill="auto"/>
            <w:noWrap/>
            <w:vAlign w:val="bottom"/>
            <w:hideMark/>
          </w:tcPr>
          <w:p w14:paraId="2BB1F9B7"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Увеличения от:</w:t>
            </w:r>
          </w:p>
        </w:tc>
        <w:tc>
          <w:tcPr>
            <w:tcW w:w="1546" w:type="dxa"/>
            <w:tcBorders>
              <w:top w:val="nil"/>
              <w:left w:val="nil"/>
              <w:bottom w:val="single" w:sz="4" w:space="0" w:color="auto"/>
              <w:right w:val="single" w:sz="4" w:space="0" w:color="auto"/>
            </w:tcBorders>
            <w:shd w:val="clear" w:color="auto" w:fill="auto"/>
            <w:noWrap/>
            <w:vAlign w:val="bottom"/>
            <w:hideMark/>
          </w:tcPr>
          <w:p w14:paraId="65C5AA89"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68 </w:t>
            </w:r>
          </w:p>
        </w:tc>
      </w:tr>
      <w:tr w:rsidR="00C64C55" w:rsidRPr="00C64C55" w14:paraId="3BA6A7DC" w14:textId="77777777" w:rsidTr="00C64C55">
        <w:trPr>
          <w:trHeight w:val="252"/>
        </w:trPr>
        <w:tc>
          <w:tcPr>
            <w:tcW w:w="4930" w:type="dxa"/>
            <w:tcBorders>
              <w:top w:val="nil"/>
              <w:left w:val="single" w:sz="4" w:space="0" w:color="auto"/>
              <w:bottom w:val="single" w:sz="4" w:space="0" w:color="auto"/>
              <w:right w:val="single" w:sz="4" w:space="0" w:color="auto"/>
            </w:tcBorders>
            <w:shd w:val="clear" w:color="auto" w:fill="auto"/>
            <w:noWrap/>
            <w:vAlign w:val="bottom"/>
            <w:hideMark/>
          </w:tcPr>
          <w:p w14:paraId="17F182C0"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Печалба за годината - 2024</w:t>
            </w:r>
          </w:p>
        </w:tc>
        <w:tc>
          <w:tcPr>
            <w:tcW w:w="1546" w:type="dxa"/>
            <w:tcBorders>
              <w:top w:val="nil"/>
              <w:left w:val="nil"/>
              <w:bottom w:val="single" w:sz="4" w:space="0" w:color="auto"/>
              <w:right w:val="single" w:sz="4" w:space="0" w:color="auto"/>
            </w:tcBorders>
            <w:shd w:val="clear" w:color="auto" w:fill="auto"/>
            <w:noWrap/>
            <w:vAlign w:val="bottom"/>
            <w:hideMark/>
          </w:tcPr>
          <w:p w14:paraId="2731C6DC"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68 </w:t>
            </w:r>
          </w:p>
        </w:tc>
      </w:tr>
      <w:tr w:rsidR="00C64C55" w:rsidRPr="00C64C55" w14:paraId="5BE061BA" w14:textId="77777777" w:rsidTr="00C64C55">
        <w:trPr>
          <w:trHeight w:val="383"/>
        </w:trPr>
        <w:tc>
          <w:tcPr>
            <w:tcW w:w="4930" w:type="dxa"/>
            <w:tcBorders>
              <w:top w:val="nil"/>
              <w:left w:val="single" w:sz="4" w:space="0" w:color="auto"/>
              <w:bottom w:val="single" w:sz="4" w:space="0" w:color="auto"/>
              <w:right w:val="single" w:sz="4" w:space="0" w:color="auto"/>
            </w:tcBorders>
            <w:shd w:val="clear" w:color="000000" w:fill="00AEEF"/>
            <w:noWrap/>
            <w:vAlign w:val="bottom"/>
            <w:hideMark/>
          </w:tcPr>
          <w:p w14:paraId="038276C5"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Печалба към 30.6.2024 г.</w:t>
            </w:r>
          </w:p>
        </w:tc>
        <w:tc>
          <w:tcPr>
            <w:tcW w:w="1546" w:type="dxa"/>
            <w:tcBorders>
              <w:top w:val="nil"/>
              <w:left w:val="nil"/>
              <w:bottom w:val="single" w:sz="4" w:space="0" w:color="auto"/>
              <w:right w:val="single" w:sz="4" w:space="0" w:color="auto"/>
            </w:tcBorders>
            <w:shd w:val="clear" w:color="000000" w:fill="00AEEF"/>
            <w:noWrap/>
            <w:vAlign w:val="bottom"/>
            <w:hideMark/>
          </w:tcPr>
          <w:p w14:paraId="3F1320DC"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68 </w:t>
            </w:r>
          </w:p>
        </w:tc>
      </w:tr>
      <w:tr w:rsidR="00C64C55" w:rsidRPr="00C64C55" w14:paraId="205DC105" w14:textId="77777777" w:rsidTr="00C64C55">
        <w:trPr>
          <w:trHeight w:val="255"/>
        </w:trPr>
        <w:tc>
          <w:tcPr>
            <w:tcW w:w="4930" w:type="dxa"/>
            <w:tcBorders>
              <w:top w:val="nil"/>
              <w:left w:val="single" w:sz="4" w:space="0" w:color="auto"/>
              <w:bottom w:val="single" w:sz="4" w:space="0" w:color="auto"/>
              <w:right w:val="single" w:sz="4" w:space="0" w:color="auto"/>
            </w:tcBorders>
            <w:shd w:val="clear" w:color="000000" w:fill="00AEEF"/>
            <w:noWrap/>
            <w:vAlign w:val="bottom"/>
            <w:hideMark/>
          </w:tcPr>
          <w:p w14:paraId="4A11F330"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Загуба към 31.12.2022 г.</w:t>
            </w:r>
          </w:p>
        </w:tc>
        <w:tc>
          <w:tcPr>
            <w:tcW w:w="1546" w:type="dxa"/>
            <w:tcBorders>
              <w:top w:val="nil"/>
              <w:left w:val="nil"/>
              <w:bottom w:val="single" w:sz="4" w:space="0" w:color="auto"/>
              <w:right w:val="single" w:sz="4" w:space="0" w:color="auto"/>
            </w:tcBorders>
            <w:shd w:val="clear" w:color="000000" w:fill="00AEEF"/>
            <w:noWrap/>
            <w:vAlign w:val="bottom"/>
            <w:hideMark/>
          </w:tcPr>
          <w:p w14:paraId="2DAB5161"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(58 584)</w:t>
            </w:r>
          </w:p>
        </w:tc>
      </w:tr>
      <w:tr w:rsidR="00C64C55" w:rsidRPr="00C64C55" w14:paraId="1C22F33D" w14:textId="77777777" w:rsidTr="00C64C55">
        <w:trPr>
          <w:trHeight w:val="255"/>
        </w:trPr>
        <w:tc>
          <w:tcPr>
            <w:tcW w:w="4930" w:type="dxa"/>
            <w:tcBorders>
              <w:top w:val="nil"/>
              <w:left w:val="single" w:sz="4" w:space="0" w:color="auto"/>
              <w:bottom w:val="single" w:sz="4" w:space="0" w:color="auto"/>
              <w:right w:val="single" w:sz="4" w:space="0" w:color="auto"/>
            </w:tcBorders>
            <w:shd w:val="clear" w:color="auto" w:fill="auto"/>
            <w:noWrap/>
            <w:vAlign w:val="bottom"/>
            <w:hideMark/>
          </w:tcPr>
          <w:p w14:paraId="47C29AEF"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Увеличения от:</w:t>
            </w:r>
          </w:p>
        </w:tc>
        <w:tc>
          <w:tcPr>
            <w:tcW w:w="1546" w:type="dxa"/>
            <w:tcBorders>
              <w:top w:val="nil"/>
              <w:left w:val="nil"/>
              <w:bottom w:val="single" w:sz="4" w:space="0" w:color="auto"/>
              <w:right w:val="single" w:sz="4" w:space="0" w:color="auto"/>
            </w:tcBorders>
            <w:shd w:val="clear" w:color="auto" w:fill="auto"/>
            <w:noWrap/>
            <w:vAlign w:val="bottom"/>
            <w:hideMark/>
          </w:tcPr>
          <w:p w14:paraId="0FBE8C8F"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(4)</w:t>
            </w:r>
          </w:p>
        </w:tc>
      </w:tr>
      <w:tr w:rsidR="00C64C55" w:rsidRPr="00C64C55" w14:paraId="7525BB26" w14:textId="77777777" w:rsidTr="00C64C55">
        <w:trPr>
          <w:trHeight w:val="255"/>
        </w:trPr>
        <w:tc>
          <w:tcPr>
            <w:tcW w:w="4930" w:type="dxa"/>
            <w:tcBorders>
              <w:top w:val="nil"/>
              <w:left w:val="single" w:sz="4" w:space="0" w:color="auto"/>
              <w:bottom w:val="single" w:sz="4" w:space="0" w:color="auto"/>
              <w:right w:val="single" w:sz="4" w:space="0" w:color="auto"/>
            </w:tcBorders>
            <w:shd w:val="clear" w:color="auto" w:fill="auto"/>
            <w:noWrap/>
            <w:vAlign w:val="bottom"/>
            <w:hideMark/>
          </w:tcPr>
          <w:p w14:paraId="03DA21DD"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Загуба за годината - 2023</w:t>
            </w:r>
          </w:p>
        </w:tc>
        <w:tc>
          <w:tcPr>
            <w:tcW w:w="1546" w:type="dxa"/>
            <w:tcBorders>
              <w:top w:val="nil"/>
              <w:left w:val="nil"/>
              <w:bottom w:val="single" w:sz="4" w:space="0" w:color="auto"/>
              <w:right w:val="single" w:sz="4" w:space="0" w:color="auto"/>
            </w:tcBorders>
            <w:shd w:val="clear" w:color="auto" w:fill="auto"/>
            <w:noWrap/>
            <w:vAlign w:val="bottom"/>
            <w:hideMark/>
          </w:tcPr>
          <w:p w14:paraId="6251BF53" w14:textId="77777777" w:rsidR="00C64C55" w:rsidRPr="00C64C55" w:rsidRDefault="00C64C55" w:rsidP="00C64C55">
            <w:pPr>
              <w:jc w:val="left"/>
              <w:rPr>
                <w:rFonts w:ascii="Arial" w:hAnsi="Arial" w:cs="Arial"/>
                <w:sz w:val="20"/>
                <w:lang w:eastAsia="bg-BG"/>
              </w:rPr>
            </w:pPr>
            <w:r w:rsidRPr="00C64C55">
              <w:rPr>
                <w:rFonts w:ascii="Arial" w:hAnsi="Arial" w:cs="Arial"/>
                <w:sz w:val="20"/>
                <w:lang w:eastAsia="bg-BG"/>
              </w:rPr>
              <w:t xml:space="preserve">               (4)</w:t>
            </w:r>
          </w:p>
        </w:tc>
      </w:tr>
      <w:tr w:rsidR="00C64C55" w:rsidRPr="00C64C55" w14:paraId="7BC422C0" w14:textId="77777777" w:rsidTr="00C64C55">
        <w:trPr>
          <w:trHeight w:val="255"/>
        </w:trPr>
        <w:tc>
          <w:tcPr>
            <w:tcW w:w="4930" w:type="dxa"/>
            <w:tcBorders>
              <w:top w:val="nil"/>
              <w:left w:val="single" w:sz="4" w:space="0" w:color="auto"/>
              <w:bottom w:val="single" w:sz="4" w:space="0" w:color="auto"/>
              <w:right w:val="single" w:sz="4" w:space="0" w:color="auto"/>
            </w:tcBorders>
            <w:shd w:val="clear" w:color="000000" w:fill="00AEEF"/>
            <w:noWrap/>
            <w:vAlign w:val="bottom"/>
            <w:hideMark/>
          </w:tcPr>
          <w:p w14:paraId="4389A581"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Загуба към 31.12.2023 г.</w:t>
            </w:r>
          </w:p>
        </w:tc>
        <w:tc>
          <w:tcPr>
            <w:tcW w:w="1546" w:type="dxa"/>
            <w:tcBorders>
              <w:top w:val="nil"/>
              <w:left w:val="nil"/>
              <w:bottom w:val="single" w:sz="4" w:space="0" w:color="auto"/>
              <w:right w:val="single" w:sz="4" w:space="0" w:color="auto"/>
            </w:tcBorders>
            <w:shd w:val="clear" w:color="000000" w:fill="00AEEF"/>
            <w:noWrap/>
            <w:vAlign w:val="bottom"/>
            <w:hideMark/>
          </w:tcPr>
          <w:p w14:paraId="129F13B8"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(58 588)</w:t>
            </w:r>
          </w:p>
        </w:tc>
      </w:tr>
      <w:tr w:rsidR="00C64C55" w:rsidRPr="00C64C55" w14:paraId="65FAE17B" w14:textId="77777777" w:rsidTr="00C64C55">
        <w:trPr>
          <w:trHeight w:val="255"/>
        </w:trPr>
        <w:tc>
          <w:tcPr>
            <w:tcW w:w="4930" w:type="dxa"/>
            <w:tcBorders>
              <w:top w:val="nil"/>
              <w:left w:val="single" w:sz="4" w:space="0" w:color="auto"/>
              <w:bottom w:val="single" w:sz="4" w:space="0" w:color="auto"/>
              <w:right w:val="single" w:sz="4" w:space="0" w:color="auto"/>
            </w:tcBorders>
            <w:shd w:val="clear" w:color="000000" w:fill="00AEEF"/>
            <w:noWrap/>
            <w:vAlign w:val="bottom"/>
            <w:hideMark/>
          </w:tcPr>
          <w:p w14:paraId="2E7626B2"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Загуба към 30.6.2024 г.</w:t>
            </w:r>
          </w:p>
        </w:tc>
        <w:tc>
          <w:tcPr>
            <w:tcW w:w="1546" w:type="dxa"/>
            <w:tcBorders>
              <w:top w:val="nil"/>
              <w:left w:val="nil"/>
              <w:bottom w:val="single" w:sz="4" w:space="0" w:color="auto"/>
              <w:right w:val="single" w:sz="4" w:space="0" w:color="auto"/>
            </w:tcBorders>
            <w:shd w:val="clear" w:color="000000" w:fill="00AEEF"/>
            <w:noWrap/>
            <w:vAlign w:val="bottom"/>
            <w:hideMark/>
          </w:tcPr>
          <w:p w14:paraId="05B759C0"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(58 588)</w:t>
            </w:r>
          </w:p>
        </w:tc>
      </w:tr>
      <w:tr w:rsidR="00C64C55" w:rsidRPr="00C64C55" w14:paraId="469B16D8" w14:textId="77777777" w:rsidTr="00C64C55">
        <w:trPr>
          <w:trHeight w:val="255"/>
        </w:trPr>
        <w:tc>
          <w:tcPr>
            <w:tcW w:w="4930" w:type="dxa"/>
            <w:tcBorders>
              <w:top w:val="nil"/>
              <w:left w:val="single" w:sz="4" w:space="0" w:color="auto"/>
              <w:bottom w:val="single" w:sz="4" w:space="0" w:color="auto"/>
              <w:right w:val="single" w:sz="4" w:space="0" w:color="auto"/>
            </w:tcBorders>
            <w:shd w:val="clear" w:color="000000" w:fill="00AEEF"/>
            <w:noWrap/>
            <w:vAlign w:val="bottom"/>
            <w:hideMark/>
          </w:tcPr>
          <w:p w14:paraId="64A91781"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Финансов резултат към 31.12.2022 г.</w:t>
            </w:r>
          </w:p>
        </w:tc>
        <w:tc>
          <w:tcPr>
            <w:tcW w:w="1546" w:type="dxa"/>
            <w:tcBorders>
              <w:top w:val="nil"/>
              <w:left w:val="nil"/>
              <w:bottom w:val="single" w:sz="4" w:space="0" w:color="auto"/>
              <w:right w:val="single" w:sz="4" w:space="0" w:color="auto"/>
            </w:tcBorders>
            <w:shd w:val="clear" w:color="000000" w:fill="00AEEF"/>
            <w:noWrap/>
            <w:vAlign w:val="bottom"/>
            <w:hideMark/>
          </w:tcPr>
          <w:p w14:paraId="45F79850"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(58 584)</w:t>
            </w:r>
          </w:p>
        </w:tc>
      </w:tr>
      <w:tr w:rsidR="00C64C55" w:rsidRPr="00C64C55" w14:paraId="54D7339B" w14:textId="77777777" w:rsidTr="00C64C55">
        <w:trPr>
          <w:trHeight w:val="255"/>
        </w:trPr>
        <w:tc>
          <w:tcPr>
            <w:tcW w:w="4930" w:type="dxa"/>
            <w:tcBorders>
              <w:top w:val="nil"/>
              <w:left w:val="single" w:sz="4" w:space="0" w:color="auto"/>
              <w:bottom w:val="single" w:sz="4" w:space="0" w:color="auto"/>
              <w:right w:val="single" w:sz="4" w:space="0" w:color="auto"/>
            </w:tcBorders>
            <w:shd w:val="clear" w:color="000000" w:fill="00AEEF"/>
            <w:noWrap/>
            <w:vAlign w:val="bottom"/>
            <w:hideMark/>
          </w:tcPr>
          <w:p w14:paraId="46C837E2"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Финансов резултат към 31.12.2023 г.</w:t>
            </w:r>
          </w:p>
        </w:tc>
        <w:tc>
          <w:tcPr>
            <w:tcW w:w="1546" w:type="dxa"/>
            <w:tcBorders>
              <w:top w:val="nil"/>
              <w:left w:val="nil"/>
              <w:bottom w:val="single" w:sz="4" w:space="0" w:color="auto"/>
              <w:right w:val="single" w:sz="4" w:space="0" w:color="auto"/>
            </w:tcBorders>
            <w:shd w:val="clear" w:color="000000" w:fill="00AEEF"/>
            <w:noWrap/>
            <w:vAlign w:val="bottom"/>
            <w:hideMark/>
          </w:tcPr>
          <w:p w14:paraId="0A14A3A9"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(58 588)</w:t>
            </w:r>
          </w:p>
        </w:tc>
      </w:tr>
      <w:tr w:rsidR="00C64C55" w:rsidRPr="00C64C55" w14:paraId="55ADBD2D" w14:textId="77777777" w:rsidTr="00C64C55">
        <w:trPr>
          <w:trHeight w:val="255"/>
        </w:trPr>
        <w:tc>
          <w:tcPr>
            <w:tcW w:w="4930" w:type="dxa"/>
            <w:tcBorders>
              <w:top w:val="nil"/>
              <w:left w:val="single" w:sz="4" w:space="0" w:color="auto"/>
              <w:bottom w:val="single" w:sz="4" w:space="0" w:color="auto"/>
              <w:right w:val="single" w:sz="4" w:space="0" w:color="auto"/>
            </w:tcBorders>
            <w:shd w:val="clear" w:color="000000" w:fill="00AEEF"/>
            <w:noWrap/>
            <w:vAlign w:val="bottom"/>
            <w:hideMark/>
          </w:tcPr>
          <w:p w14:paraId="5EE39766"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Финансов резултат към 30.6.2024 г.</w:t>
            </w:r>
          </w:p>
        </w:tc>
        <w:tc>
          <w:tcPr>
            <w:tcW w:w="1546" w:type="dxa"/>
            <w:tcBorders>
              <w:top w:val="nil"/>
              <w:left w:val="nil"/>
              <w:bottom w:val="single" w:sz="4" w:space="0" w:color="auto"/>
              <w:right w:val="single" w:sz="4" w:space="0" w:color="auto"/>
            </w:tcBorders>
            <w:shd w:val="clear" w:color="000000" w:fill="00AEEF"/>
            <w:noWrap/>
            <w:vAlign w:val="bottom"/>
            <w:hideMark/>
          </w:tcPr>
          <w:p w14:paraId="5C3418F1" w14:textId="77777777" w:rsidR="00C64C55" w:rsidRPr="00C64C55" w:rsidRDefault="00C64C55" w:rsidP="00C64C55">
            <w:pPr>
              <w:jc w:val="left"/>
              <w:rPr>
                <w:rFonts w:ascii="Arial" w:hAnsi="Arial" w:cs="Arial"/>
                <w:b/>
                <w:bCs/>
                <w:sz w:val="20"/>
                <w:lang w:eastAsia="bg-BG"/>
              </w:rPr>
            </w:pPr>
            <w:r w:rsidRPr="00C64C55">
              <w:rPr>
                <w:rFonts w:ascii="Arial" w:hAnsi="Arial" w:cs="Arial"/>
                <w:b/>
                <w:bCs/>
                <w:sz w:val="20"/>
                <w:lang w:eastAsia="bg-BG"/>
              </w:rPr>
              <w:t xml:space="preserve">       (58 520)</w:t>
            </w:r>
          </w:p>
        </w:tc>
      </w:tr>
    </w:tbl>
    <w:p w14:paraId="3F968290" w14:textId="06EF41EB" w:rsidR="00A80B93" w:rsidRDefault="00A80B93" w:rsidP="00A80B93"/>
    <w:p w14:paraId="208AAF57" w14:textId="77777777" w:rsidR="00CA29CF" w:rsidRPr="00D66436" w:rsidRDefault="00CA29CF" w:rsidP="00C7797D"/>
    <w:p w14:paraId="2E988B0E" w14:textId="77777777" w:rsidR="00B66DF8" w:rsidRDefault="00B66DF8" w:rsidP="003833F6">
      <w:pPr>
        <w:pStyle w:val="Heading4"/>
        <w:rPr>
          <w:rFonts w:ascii="Arial" w:hAnsi="Arial" w:cs="Arial"/>
          <w:lang w:val="bg-BG"/>
        </w:rPr>
      </w:pPr>
      <w:bookmarkStart w:id="156" w:name="_Toc164268382"/>
      <w:r w:rsidRPr="00B14C47">
        <w:rPr>
          <w:rFonts w:ascii="Arial" w:hAnsi="Arial" w:cs="Arial"/>
          <w:lang w:val="bg-BG"/>
        </w:rPr>
        <w:t>2.</w:t>
      </w:r>
      <w:r w:rsidR="00962824" w:rsidRPr="00B14C47">
        <w:rPr>
          <w:rFonts w:ascii="Arial" w:hAnsi="Arial" w:cs="Arial"/>
          <w:lang w:val="bg-BG"/>
        </w:rPr>
        <w:t>6</w:t>
      </w:r>
      <w:r w:rsidRPr="00B14C47">
        <w:rPr>
          <w:rFonts w:ascii="Arial" w:hAnsi="Arial" w:cs="Arial"/>
          <w:lang w:val="bg-BG"/>
        </w:rPr>
        <w:t>. Текущи търговски и други задължения</w:t>
      </w:r>
      <w:bookmarkEnd w:id="156"/>
    </w:p>
    <w:p w14:paraId="51DD6DDD" w14:textId="77777777" w:rsidR="003F67E7" w:rsidRDefault="003F67E7" w:rsidP="003F67E7"/>
    <w:tbl>
      <w:tblPr>
        <w:tblW w:w="5000" w:type="pct"/>
        <w:tblCellMar>
          <w:left w:w="70" w:type="dxa"/>
          <w:right w:w="70" w:type="dxa"/>
        </w:tblCellMar>
        <w:tblLook w:val="04A0" w:firstRow="1" w:lastRow="0" w:firstColumn="1" w:lastColumn="0" w:noHBand="0" w:noVBand="1"/>
      </w:tblPr>
      <w:tblGrid>
        <w:gridCol w:w="6012"/>
        <w:gridCol w:w="1898"/>
        <w:gridCol w:w="1697"/>
      </w:tblGrid>
      <w:tr w:rsidR="003F67E7" w:rsidRPr="003F67E7" w14:paraId="4310179F" w14:textId="77777777" w:rsidTr="003F67E7">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7F8F99E6"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Текущи задължения</w:t>
            </w:r>
          </w:p>
        </w:tc>
      </w:tr>
      <w:tr w:rsidR="003F67E7" w:rsidRPr="003F67E7" w14:paraId="3FEAC396" w14:textId="77777777" w:rsidTr="003F67E7">
        <w:trPr>
          <w:trHeight w:val="255"/>
        </w:trPr>
        <w:tc>
          <w:tcPr>
            <w:tcW w:w="3129" w:type="pct"/>
            <w:tcBorders>
              <w:top w:val="nil"/>
              <w:left w:val="single" w:sz="4" w:space="0" w:color="auto"/>
              <w:bottom w:val="single" w:sz="4" w:space="0" w:color="auto"/>
              <w:right w:val="nil"/>
            </w:tcBorders>
            <w:shd w:val="clear" w:color="auto" w:fill="auto"/>
            <w:noWrap/>
            <w:vAlign w:val="bottom"/>
            <w:hideMark/>
          </w:tcPr>
          <w:p w14:paraId="5B670D65"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Вид текущи задължения</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1B79C558"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30.6.2024 г.</w:t>
            </w:r>
          </w:p>
        </w:tc>
        <w:tc>
          <w:tcPr>
            <w:tcW w:w="883" w:type="pct"/>
            <w:tcBorders>
              <w:top w:val="nil"/>
              <w:left w:val="nil"/>
              <w:bottom w:val="single" w:sz="4" w:space="0" w:color="auto"/>
              <w:right w:val="single" w:sz="4" w:space="0" w:color="auto"/>
            </w:tcBorders>
            <w:shd w:val="clear" w:color="auto" w:fill="auto"/>
            <w:noWrap/>
            <w:vAlign w:val="bottom"/>
            <w:hideMark/>
          </w:tcPr>
          <w:p w14:paraId="299478CB"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31.12.2023 г.</w:t>
            </w:r>
          </w:p>
        </w:tc>
      </w:tr>
      <w:tr w:rsidR="003F67E7" w:rsidRPr="003F67E7" w14:paraId="5FF6A31E" w14:textId="77777777" w:rsidTr="003F67E7">
        <w:trPr>
          <w:trHeight w:val="255"/>
        </w:trPr>
        <w:tc>
          <w:tcPr>
            <w:tcW w:w="3129" w:type="pct"/>
            <w:tcBorders>
              <w:top w:val="nil"/>
              <w:left w:val="single" w:sz="4" w:space="0" w:color="auto"/>
              <w:bottom w:val="single" w:sz="4" w:space="0" w:color="auto"/>
              <w:right w:val="nil"/>
            </w:tcBorders>
            <w:shd w:val="clear" w:color="auto" w:fill="auto"/>
            <w:noWrap/>
            <w:vAlign w:val="bottom"/>
            <w:hideMark/>
          </w:tcPr>
          <w:p w14:paraId="2C5E220B"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Задължения към свързани лица, в т.ч.:</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324CBD97"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11 </w:t>
            </w:r>
          </w:p>
        </w:tc>
        <w:tc>
          <w:tcPr>
            <w:tcW w:w="883" w:type="pct"/>
            <w:tcBorders>
              <w:top w:val="nil"/>
              <w:left w:val="nil"/>
              <w:bottom w:val="single" w:sz="4" w:space="0" w:color="auto"/>
              <w:right w:val="single" w:sz="4" w:space="0" w:color="auto"/>
            </w:tcBorders>
            <w:shd w:val="clear" w:color="auto" w:fill="auto"/>
            <w:noWrap/>
            <w:vAlign w:val="bottom"/>
            <w:hideMark/>
          </w:tcPr>
          <w:p w14:paraId="4512092B"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11 </w:t>
            </w:r>
          </w:p>
        </w:tc>
      </w:tr>
      <w:tr w:rsidR="003F67E7" w:rsidRPr="003F67E7" w14:paraId="78F133E9" w14:textId="77777777" w:rsidTr="003F67E7">
        <w:trPr>
          <w:trHeight w:val="255"/>
        </w:trPr>
        <w:tc>
          <w:tcPr>
            <w:tcW w:w="3129" w:type="pct"/>
            <w:tcBorders>
              <w:top w:val="nil"/>
              <w:left w:val="single" w:sz="4" w:space="0" w:color="auto"/>
              <w:bottom w:val="single" w:sz="4" w:space="0" w:color="auto"/>
              <w:right w:val="nil"/>
            </w:tcBorders>
            <w:shd w:val="clear" w:color="auto" w:fill="auto"/>
            <w:noWrap/>
            <w:vAlign w:val="bottom"/>
            <w:hideMark/>
          </w:tcPr>
          <w:p w14:paraId="13DC9057"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Други задължения </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0F9A164D"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11 </w:t>
            </w:r>
          </w:p>
        </w:tc>
        <w:tc>
          <w:tcPr>
            <w:tcW w:w="883" w:type="pct"/>
            <w:tcBorders>
              <w:top w:val="nil"/>
              <w:left w:val="nil"/>
              <w:bottom w:val="single" w:sz="4" w:space="0" w:color="auto"/>
              <w:right w:val="single" w:sz="4" w:space="0" w:color="auto"/>
            </w:tcBorders>
            <w:shd w:val="clear" w:color="auto" w:fill="auto"/>
            <w:noWrap/>
            <w:vAlign w:val="bottom"/>
            <w:hideMark/>
          </w:tcPr>
          <w:p w14:paraId="25564065"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11 </w:t>
            </w:r>
          </w:p>
        </w:tc>
      </w:tr>
      <w:tr w:rsidR="003F67E7" w:rsidRPr="003F67E7" w14:paraId="75A71C2F" w14:textId="77777777" w:rsidTr="003F67E7">
        <w:trPr>
          <w:trHeight w:val="255"/>
        </w:trPr>
        <w:tc>
          <w:tcPr>
            <w:tcW w:w="3129" w:type="pct"/>
            <w:tcBorders>
              <w:top w:val="nil"/>
              <w:left w:val="single" w:sz="4" w:space="0" w:color="auto"/>
              <w:bottom w:val="single" w:sz="4" w:space="0" w:color="auto"/>
              <w:right w:val="nil"/>
            </w:tcBorders>
            <w:shd w:val="clear" w:color="auto" w:fill="auto"/>
            <w:noWrap/>
            <w:vAlign w:val="bottom"/>
            <w:hideMark/>
          </w:tcPr>
          <w:p w14:paraId="58616DF3"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Задължения по доставки</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2CC3EA4E"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w:t>
            </w:r>
          </w:p>
        </w:tc>
        <w:tc>
          <w:tcPr>
            <w:tcW w:w="883" w:type="pct"/>
            <w:tcBorders>
              <w:top w:val="nil"/>
              <w:left w:val="nil"/>
              <w:bottom w:val="single" w:sz="4" w:space="0" w:color="auto"/>
              <w:right w:val="single" w:sz="4" w:space="0" w:color="auto"/>
            </w:tcBorders>
            <w:shd w:val="clear" w:color="auto" w:fill="auto"/>
            <w:noWrap/>
            <w:vAlign w:val="bottom"/>
            <w:hideMark/>
          </w:tcPr>
          <w:p w14:paraId="730082CE"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3 </w:t>
            </w:r>
          </w:p>
        </w:tc>
      </w:tr>
      <w:tr w:rsidR="003F67E7" w:rsidRPr="003F67E7" w14:paraId="0708D575" w14:textId="77777777" w:rsidTr="003F67E7">
        <w:trPr>
          <w:trHeight w:val="255"/>
        </w:trPr>
        <w:tc>
          <w:tcPr>
            <w:tcW w:w="3129" w:type="pct"/>
            <w:tcBorders>
              <w:top w:val="nil"/>
              <w:left w:val="single" w:sz="4" w:space="0" w:color="auto"/>
              <w:bottom w:val="single" w:sz="4" w:space="0" w:color="auto"/>
              <w:right w:val="nil"/>
            </w:tcBorders>
            <w:shd w:val="clear" w:color="auto" w:fill="auto"/>
            <w:noWrap/>
            <w:vAlign w:val="bottom"/>
            <w:hideMark/>
          </w:tcPr>
          <w:p w14:paraId="26F120F3"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Други задължения, в т.ч.:</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0B89D715"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 </w:t>
            </w:r>
          </w:p>
        </w:tc>
        <w:tc>
          <w:tcPr>
            <w:tcW w:w="883" w:type="pct"/>
            <w:tcBorders>
              <w:top w:val="nil"/>
              <w:left w:val="nil"/>
              <w:bottom w:val="single" w:sz="4" w:space="0" w:color="auto"/>
              <w:right w:val="single" w:sz="4" w:space="0" w:color="auto"/>
            </w:tcBorders>
            <w:shd w:val="clear" w:color="auto" w:fill="auto"/>
            <w:noWrap/>
            <w:vAlign w:val="bottom"/>
            <w:hideMark/>
          </w:tcPr>
          <w:p w14:paraId="420CFB13"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23 </w:t>
            </w:r>
          </w:p>
        </w:tc>
      </w:tr>
      <w:tr w:rsidR="003F67E7" w:rsidRPr="003F67E7" w14:paraId="1920F42C" w14:textId="77777777" w:rsidTr="003F67E7">
        <w:trPr>
          <w:trHeight w:val="285"/>
        </w:trPr>
        <w:tc>
          <w:tcPr>
            <w:tcW w:w="3129" w:type="pct"/>
            <w:tcBorders>
              <w:top w:val="nil"/>
              <w:left w:val="single" w:sz="4" w:space="0" w:color="auto"/>
              <w:bottom w:val="single" w:sz="4" w:space="0" w:color="auto"/>
              <w:right w:val="nil"/>
            </w:tcBorders>
            <w:shd w:val="clear" w:color="auto" w:fill="auto"/>
            <w:noWrap/>
            <w:vAlign w:val="bottom"/>
            <w:hideMark/>
          </w:tcPr>
          <w:p w14:paraId="78F19CE7"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Задължения по начислени разходи към ФЛ за услуги</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681D3AFC"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w:t>
            </w:r>
          </w:p>
        </w:tc>
        <w:tc>
          <w:tcPr>
            <w:tcW w:w="883" w:type="pct"/>
            <w:tcBorders>
              <w:top w:val="nil"/>
              <w:left w:val="nil"/>
              <w:bottom w:val="single" w:sz="4" w:space="0" w:color="auto"/>
              <w:right w:val="single" w:sz="4" w:space="0" w:color="auto"/>
            </w:tcBorders>
            <w:shd w:val="clear" w:color="auto" w:fill="auto"/>
            <w:noWrap/>
            <w:vAlign w:val="bottom"/>
            <w:hideMark/>
          </w:tcPr>
          <w:p w14:paraId="446CB322"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23 </w:t>
            </w:r>
          </w:p>
        </w:tc>
      </w:tr>
      <w:tr w:rsidR="003F67E7" w:rsidRPr="003F67E7" w14:paraId="030A190F" w14:textId="77777777" w:rsidTr="003F67E7">
        <w:trPr>
          <w:trHeight w:val="15"/>
        </w:trPr>
        <w:tc>
          <w:tcPr>
            <w:tcW w:w="3129" w:type="pct"/>
            <w:tcBorders>
              <w:top w:val="nil"/>
              <w:left w:val="single" w:sz="4" w:space="0" w:color="auto"/>
              <w:bottom w:val="single" w:sz="4" w:space="0" w:color="auto"/>
              <w:right w:val="nil"/>
            </w:tcBorders>
            <w:shd w:val="clear" w:color="auto" w:fill="auto"/>
            <w:noWrap/>
            <w:vAlign w:val="bottom"/>
            <w:hideMark/>
          </w:tcPr>
          <w:p w14:paraId="20440724"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6CD2AAAB"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w:t>
            </w:r>
          </w:p>
        </w:tc>
        <w:tc>
          <w:tcPr>
            <w:tcW w:w="883" w:type="pct"/>
            <w:tcBorders>
              <w:top w:val="nil"/>
              <w:left w:val="nil"/>
              <w:bottom w:val="single" w:sz="4" w:space="0" w:color="auto"/>
              <w:right w:val="single" w:sz="4" w:space="0" w:color="auto"/>
            </w:tcBorders>
            <w:shd w:val="clear" w:color="auto" w:fill="auto"/>
            <w:noWrap/>
            <w:vAlign w:val="bottom"/>
            <w:hideMark/>
          </w:tcPr>
          <w:p w14:paraId="68EA63F8"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w:t>
            </w:r>
          </w:p>
        </w:tc>
      </w:tr>
      <w:tr w:rsidR="003F67E7" w:rsidRPr="003F67E7" w14:paraId="48D4FF74" w14:textId="77777777" w:rsidTr="003F67E7">
        <w:trPr>
          <w:trHeight w:val="255"/>
        </w:trPr>
        <w:tc>
          <w:tcPr>
            <w:tcW w:w="3129" w:type="pct"/>
            <w:tcBorders>
              <w:top w:val="nil"/>
              <w:left w:val="single" w:sz="4" w:space="0" w:color="auto"/>
              <w:bottom w:val="single" w:sz="4" w:space="0" w:color="auto"/>
              <w:right w:val="nil"/>
            </w:tcBorders>
            <w:shd w:val="clear" w:color="000000" w:fill="00AEEF"/>
            <w:noWrap/>
            <w:vAlign w:val="bottom"/>
            <w:hideMark/>
          </w:tcPr>
          <w:p w14:paraId="35700082"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Общо</w:t>
            </w:r>
          </w:p>
        </w:tc>
        <w:tc>
          <w:tcPr>
            <w:tcW w:w="988" w:type="pct"/>
            <w:tcBorders>
              <w:top w:val="nil"/>
              <w:left w:val="single" w:sz="4" w:space="0" w:color="auto"/>
              <w:bottom w:val="single" w:sz="4" w:space="0" w:color="auto"/>
              <w:right w:val="single" w:sz="4" w:space="0" w:color="auto"/>
            </w:tcBorders>
            <w:shd w:val="clear" w:color="000000" w:fill="00AEEF"/>
            <w:noWrap/>
            <w:vAlign w:val="bottom"/>
            <w:hideMark/>
          </w:tcPr>
          <w:p w14:paraId="24D04D94"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11 </w:t>
            </w:r>
          </w:p>
        </w:tc>
        <w:tc>
          <w:tcPr>
            <w:tcW w:w="883" w:type="pct"/>
            <w:tcBorders>
              <w:top w:val="nil"/>
              <w:left w:val="nil"/>
              <w:bottom w:val="single" w:sz="4" w:space="0" w:color="auto"/>
              <w:right w:val="single" w:sz="4" w:space="0" w:color="auto"/>
            </w:tcBorders>
            <w:shd w:val="clear" w:color="000000" w:fill="00AEEF"/>
            <w:noWrap/>
            <w:vAlign w:val="bottom"/>
            <w:hideMark/>
          </w:tcPr>
          <w:p w14:paraId="663CE2C8"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37 </w:t>
            </w:r>
          </w:p>
        </w:tc>
      </w:tr>
    </w:tbl>
    <w:p w14:paraId="36CC873C" w14:textId="77777777" w:rsidR="003F67E7" w:rsidRDefault="003F67E7" w:rsidP="003F67E7"/>
    <w:p w14:paraId="3974AA83" w14:textId="77777777" w:rsidR="003F67E7" w:rsidRDefault="003F67E7" w:rsidP="003F67E7"/>
    <w:tbl>
      <w:tblPr>
        <w:tblW w:w="5000" w:type="pct"/>
        <w:tblCellMar>
          <w:left w:w="70" w:type="dxa"/>
          <w:right w:w="70" w:type="dxa"/>
        </w:tblCellMar>
        <w:tblLook w:val="04A0" w:firstRow="1" w:lastRow="0" w:firstColumn="1" w:lastColumn="0" w:noHBand="0" w:noVBand="1"/>
      </w:tblPr>
      <w:tblGrid>
        <w:gridCol w:w="1863"/>
        <w:gridCol w:w="4091"/>
        <w:gridCol w:w="3653"/>
      </w:tblGrid>
      <w:tr w:rsidR="003F67E7" w:rsidRPr="003F67E7" w14:paraId="2C153DE7" w14:textId="77777777" w:rsidTr="003F67E7">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0864F1"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Балансова стойност на текущи търговски и други задължения по валути (сумите са в BGN)</w:t>
            </w:r>
          </w:p>
        </w:tc>
      </w:tr>
      <w:tr w:rsidR="003F67E7" w:rsidRPr="003F67E7" w14:paraId="0474A8EC" w14:textId="77777777" w:rsidTr="003F67E7">
        <w:trPr>
          <w:trHeight w:val="255"/>
        </w:trPr>
        <w:tc>
          <w:tcPr>
            <w:tcW w:w="970" w:type="pct"/>
            <w:tcBorders>
              <w:top w:val="nil"/>
              <w:left w:val="single" w:sz="4" w:space="0" w:color="auto"/>
              <w:bottom w:val="single" w:sz="4" w:space="0" w:color="auto"/>
              <w:right w:val="nil"/>
            </w:tcBorders>
            <w:shd w:val="clear" w:color="auto" w:fill="auto"/>
            <w:noWrap/>
            <w:vAlign w:val="bottom"/>
            <w:hideMark/>
          </w:tcPr>
          <w:p w14:paraId="45F4A447"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Валута</w:t>
            </w:r>
          </w:p>
        </w:tc>
        <w:tc>
          <w:tcPr>
            <w:tcW w:w="2129" w:type="pct"/>
            <w:tcBorders>
              <w:top w:val="nil"/>
              <w:left w:val="single" w:sz="4" w:space="0" w:color="auto"/>
              <w:bottom w:val="single" w:sz="4" w:space="0" w:color="auto"/>
              <w:right w:val="single" w:sz="4" w:space="0" w:color="auto"/>
            </w:tcBorders>
            <w:shd w:val="clear" w:color="auto" w:fill="auto"/>
            <w:noWrap/>
            <w:vAlign w:val="bottom"/>
            <w:hideMark/>
          </w:tcPr>
          <w:p w14:paraId="554F1E12"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30.6.2024 г.</w:t>
            </w:r>
          </w:p>
        </w:tc>
        <w:tc>
          <w:tcPr>
            <w:tcW w:w="1902" w:type="pct"/>
            <w:tcBorders>
              <w:top w:val="nil"/>
              <w:left w:val="nil"/>
              <w:bottom w:val="single" w:sz="4" w:space="0" w:color="auto"/>
              <w:right w:val="single" w:sz="4" w:space="0" w:color="auto"/>
            </w:tcBorders>
            <w:shd w:val="clear" w:color="auto" w:fill="auto"/>
            <w:noWrap/>
            <w:vAlign w:val="bottom"/>
            <w:hideMark/>
          </w:tcPr>
          <w:p w14:paraId="5741700E"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31.12.2023 г.</w:t>
            </w:r>
          </w:p>
        </w:tc>
      </w:tr>
      <w:tr w:rsidR="003F67E7" w:rsidRPr="003F67E7" w14:paraId="4F7DFAB5" w14:textId="77777777" w:rsidTr="003F67E7">
        <w:trPr>
          <w:trHeight w:val="255"/>
        </w:trPr>
        <w:tc>
          <w:tcPr>
            <w:tcW w:w="970" w:type="pct"/>
            <w:tcBorders>
              <w:top w:val="nil"/>
              <w:left w:val="single" w:sz="4" w:space="0" w:color="auto"/>
              <w:bottom w:val="single" w:sz="4" w:space="0" w:color="auto"/>
              <w:right w:val="nil"/>
            </w:tcBorders>
            <w:shd w:val="clear" w:color="auto" w:fill="auto"/>
            <w:noWrap/>
            <w:vAlign w:val="bottom"/>
            <w:hideMark/>
          </w:tcPr>
          <w:p w14:paraId="0A81256D"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BGN</w:t>
            </w:r>
          </w:p>
        </w:tc>
        <w:tc>
          <w:tcPr>
            <w:tcW w:w="2129" w:type="pct"/>
            <w:tcBorders>
              <w:top w:val="nil"/>
              <w:left w:val="single" w:sz="4" w:space="0" w:color="auto"/>
              <w:bottom w:val="single" w:sz="4" w:space="0" w:color="auto"/>
              <w:right w:val="single" w:sz="4" w:space="0" w:color="auto"/>
            </w:tcBorders>
            <w:shd w:val="clear" w:color="auto" w:fill="auto"/>
            <w:noWrap/>
            <w:vAlign w:val="bottom"/>
            <w:hideMark/>
          </w:tcPr>
          <w:p w14:paraId="17858936"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11 </w:t>
            </w:r>
          </w:p>
        </w:tc>
        <w:tc>
          <w:tcPr>
            <w:tcW w:w="1902" w:type="pct"/>
            <w:tcBorders>
              <w:top w:val="nil"/>
              <w:left w:val="nil"/>
              <w:bottom w:val="single" w:sz="4" w:space="0" w:color="auto"/>
              <w:right w:val="single" w:sz="4" w:space="0" w:color="auto"/>
            </w:tcBorders>
            <w:shd w:val="clear" w:color="auto" w:fill="auto"/>
            <w:noWrap/>
            <w:vAlign w:val="bottom"/>
            <w:hideMark/>
          </w:tcPr>
          <w:p w14:paraId="78EDA272"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37 </w:t>
            </w:r>
          </w:p>
        </w:tc>
      </w:tr>
      <w:tr w:rsidR="003F67E7" w:rsidRPr="003F67E7" w14:paraId="1C965382" w14:textId="77777777" w:rsidTr="003F67E7">
        <w:trPr>
          <w:trHeight w:val="255"/>
        </w:trPr>
        <w:tc>
          <w:tcPr>
            <w:tcW w:w="970" w:type="pct"/>
            <w:tcBorders>
              <w:top w:val="nil"/>
              <w:left w:val="single" w:sz="4" w:space="0" w:color="auto"/>
              <w:bottom w:val="single" w:sz="4" w:space="0" w:color="auto"/>
              <w:right w:val="nil"/>
            </w:tcBorders>
            <w:shd w:val="clear" w:color="000000" w:fill="00AEEF"/>
            <w:noWrap/>
            <w:vAlign w:val="bottom"/>
            <w:hideMark/>
          </w:tcPr>
          <w:p w14:paraId="2F07BF02"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Общо </w:t>
            </w:r>
          </w:p>
        </w:tc>
        <w:tc>
          <w:tcPr>
            <w:tcW w:w="2129" w:type="pct"/>
            <w:tcBorders>
              <w:top w:val="nil"/>
              <w:left w:val="single" w:sz="4" w:space="0" w:color="auto"/>
              <w:bottom w:val="single" w:sz="4" w:space="0" w:color="auto"/>
              <w:right w:val="single" w:sz="4" w:space="0" w:color="auto"/>
            </w:tcBorders>
            <w:shd w:val="clear" w:color="000000" w:fill="00AEEF"/>
            <w:noWrap/>
            <w:vAlign w:val="bottom"/>
            <w:hideMark/>
          </w:tcPr>
          <w:p w14:paraId="57376D9E"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11 </w:t>
            </w:r>
          </w:p>
        </w:tc>
        <w:tc>
          <w:tcPr>
            <w:tcW w:w="1902" w:type="pct"/>
            <w:tcBorders>
              <w:top w:val="nil"/>
              <w:left w:val="nil"/>
              <w:bottom w:val="single" w:sz="4" w:space="0" w:color="auto"/>
              <w:right w:val="single" w:sz="4" w:space="0" w:color="auto"/>
            </w:tcBorders>
            <w:shd w:val="clear" w:color="000000" w:fill="00AEEF"/>
            <w:noWrap/>
            <w:vAlign w:val="bottom"/>
            <w:hideMark/>
          </w:tcPr>
          <w:p w14:paraId="04752197"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37 </w:t>
            </w:r>
          </w:p>
        </w:tc>
      </w:tr>
    </w:tbl>
    <w:p w14:paraId="4BBE4359" w14:textId="77777777" w:rsidR="003F67E7" w:rsidRDefault="003F67E7" w:rsidP="003F67E7"/>
    <w:p w14:paraId="0409B138" w14:textId="77777777" w:rsidR="00083BA2" w:rsidRPr="00D66436" w:rsidRDefault="00083BA2" w:rsidP="00A0345D"/>
    <w:p w14:paraId="02E07409" w14:textId="77777777" w:rsidR="002571A2" w:rsidRDefault="00B66DF8" w:rsidP="0076262B">
      <w:pPr>
        <w:pStyle w:val="Heading4"/>
        <w:rPr>
          <w:rFonts w:ascii="Arial" w:hAnsi="Arial" w:cs="Arial"/>
          <w:lang w:val="bg-BG"/>
        </w:rPr>
      </w:pPr>
      <w:bookmarkStart w:id="157" w:name="_Toc247959198"/>
      <w:bookmarkStart w:id="158" w:name="_Toc164268383"/>
      <w:r w:rsidRPr="00B14C47">
        <w:rPr>
          <w:rFonts w:ascii="Arial" w:hAnsi="Arial" w:cs="Arial"/>
          <w:lang w:val="bg-BG"/>
        </w:rPr>
        <w:t>2.</w:t>
      </w:r>
      <w:r w:rsidR="006D3FCA" w:rsidRPr="00B14C47">
        <w:rPr>
          <w:rFonts w:ascii="Arial" w:hAnsi="Arial" w:cs="Arial"/>
        </w:rPr>
        <w:t>7</w:t>
      </w:r>
      <w:r w:rsidRPr="00B14C47">
        <w:rPr>
          <w:rFonts w:ascii="Arial" w:hAnsi="Arial" w:cs="Arial"/>
          <w:lang w:val="bg-BG"/>
        </w:rPr>
        <w:t xml:space="preserve">. </w:t>
      </w:r>
      <w:r w:rsidR="00882009" w:rsidRPr="00B14C47">
        <w:rPr>
          <w:rFonts w:ascii="Arial" w:hAnsi="Arial" w:cs="Arial"/>
          <w:lang w:val="bg-BG"/>
        </w:rPr>
        <w:t xml:space="preserve">Други текущи </w:t>
      </w:r>
      <w:r w:rsidRPr="00B14C47">
        <w:rPr>
          <w:rFonts w:ascii="Arial" w:hAnsi="Arial" w:cs="Arial"/>
          <w:lang w:val="bg-BG"/>
        </w:rPr>
        <w:t>финансови пасиви</w:t>
      </w:r>
      <w:bookmarkEnd w:id="157"/>
      <w:bookmarkEnd w:id="158"/>
    </w:p>
    <w:p w14:paraId="189D57BD" w14:textId="77777777" w:rsidR="003F67E7" w:rsidRPr="003F67E7" w:rsidRDefault="003F67E7" w:rsidP="003F67E7"/>
    <w:tbl>
      <w:tblPr>
        <w:tblW w:w="5000" w:type="pct"/>
        <w:tblCellMar>
          <w:left w:w="70" w:type="dxa"/>
          <w:right w:w="70" w:type="dxa"/>
        </w:tblCellMar>
        <w:tblLook w:val="04A0" w:firstRow="1" w:lastRow="0" w:firstColumn="1" w:lastColumn="0" w:noHBand="0" w:noVBand="1"/>
      </w:tblPr>
      <w:tblGrid>
        <w:gridCol w:w="5547"/>
        <w:gridCol w:w="2030"/>
        <w:gridCol w:w="2030"/>
      </w:tblGrid>
      <w:tr w:rsidR="003F67E7" w:rsidRPr="003F67E7" w14:paraId="02C58430" w14:textId="77777777" w:rsidTr="003F67E7">
        <w:trPr>
          <w:trHeight w:val="255"/>
        </w:trPr>
        <w:tc>
          <w:tcPr>
            <w:tcW w:w="2932" w:type="pct"/>
            <w:tcBorders>
              <w:top w:val="single" w:sz="4" w:space="0" w:color="auto"/>
              <w:left w:val="single" w:sz="4" w:space="0" w:color="auto"/>
              <w:bottom w:val="nil"/>
              <w:right w:val="nil"/>
            </w:tcBorders>
            <w:shd w:val="clear" w:color="000000" w:fill="FFFFFF"/>
            <w:vAlign w:val="center"/>
            <w:hideMark/>
          </w:tcPr>
          <w:p w14:paraId="0AAADAA1"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Текущи финансови пасиви</w:t>
            </w:r>
          </w:p>
        </w:tc>
        <w:tc>
          <w:tcPr>
            <w:tcW w:w="103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207C3"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30.6.2024 г.</w:t>
            </w:r>
          </w:p>
        </w:tc>
        <w:tc>
          <w:tcPr>
            <w:tcW w:w="1034" w:type="pct"/>
            <w:tcBorders>
              <w:top w:val="single" w:sz="4" w:space="0" w:color="auto"/>
              <w:left w:val="nil"/>
              <w:bottom w:val="single" w:sz="4" w:space="0" w:color="auto"/>
              <w:right w:val="single" w:sz="4" w:space="0" w:color="auto"/>
            </w:tcBorders>
            <w:shd w:val="clear" w:color="000000" w:fill="FFFFFF"/>
            <w:noWrap/>
            <w:vAlign w:val="center"/>
            <w:hideMark/>
          </w:tcPr>
          <w:p w14:paraId="1840A34D"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31.12.2023 г.</w:t>
            </w:r>
          </w:p>
        </w:tc>
      </w:tr>
      <w:tr w:rsidR="003F67E7" w:rsidRPr="003F67E7" w14:paraId="58A5C95F" w14:textId="77777777" w:rsidTr="003F67E7">
        <w:trPr>
          <w:trHeight w:val="255"/>
        </w:trPr>
        <w:tc>
          <w:tcPr>
            <w:tcW w:w="2932" w:type="pct"/>
            <w:tcBorders>
              <w:top w:val="nil"/>
              <w:left w:val="single" w:sz="4" w:space="0" w:color="auto"/>
              <w:bottom w:val="single" w:sz="4" w:space="0" w:color="auto"/>
              <w:right w:val="nil"/>
            </w:tcBorders>
            <w:shd w:val="clear" w:color="000000" w:fill="FFFFFF"/>
            <w:noWrap/>
            <w:vAlign w:val="bottom"/>
            <w:hideMark/>
          </w:tcPr>
          <w:p w14:paraId="6E6CD64A"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Финансови пасиви, отчитани по амортизирина стойност</w:t>
            </w:r>
          </w:p>
        </w:tc>
        <w:tc>
          <w:tcPr>
            <w:tcW w:w="1034" w:type="pct"/>
            <w:tcBorders>
              <w:top w:val="nil"/>
              <w:left w:val="single" w:sz="4" w:space="0" w:color="auto"/>
              <w:bottom w:val="single" w:sz="4" w:space="0" w:color="auto"/>
              <w:right w:val="single" w:sz="4" w:space="0" w:color="auto"/>
            </w:tcBorders>
            <w:shd w:val="clear" w:color="000000" w:fill="FFFFFF"/>
            <w:noWrap/>
            <w:vAlign w:val="bottom"/>
            <w:hideMark/>
          </w:tcPr>
          <w:p w14:paraId="6065BF35"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223 </w:t>
            </w:r>
          </w:p>
        </w:tc>
        <w:tc>
          <w:tcPr>
            <w:tcW w:w="1034" w:type="pct"/>
            <w:tcBorders>
              <w:top w:val="nil"/>
              <w:left w:val="nil"/>
              <w:bottom w:val="single" w:sz="4" w:space="0" w:color="auto"/>
              <w:right w:val="single" w:sz="4" w:space="0" w:color="auto"/>
            </w:tcBorders>
            <w:shd w:val="clear" w:color="000000" w:fill="FFFFFF"/>
            <w:noWrap/>
            <w:vAlign w:val="bottom"/>
            <w:hideMark/>
          </w:tcPr>
          <w:p w14:paraId="3A653B6E"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185 </w:t>
            </w:r>
          </w:p>
        </w:tc>
      </w:tr>
      <w:tr w:rsidR="003F67E7" w:rsidRPr="003F67E7" w14:paraId="7E518662" w14:textId="77777777" w:rsidTr="003F67E7">
        <w:trPr>
          <w:trHeight w:val="255"/>
        </w:trPr>
        <w:tc>
          <w:tcPr>
            <w:tcW w:w="2932" w:type="pct"/>
            <w:tcBorders>
              <w:top w:val="nil"/>
              <w:left w:val="single" w:sz="4" w:space="0" w:color="auto"/>
              <w:bottom w:val="single" w:sz="4" w:space="0" w:color="auto"/>
              <w:right w:val="nil"/>
            </w:tcBorders>
            <w:shd w:val="clear" w:color="000000" w:fill="00AEEF"/>
            <w:noWrap/>
            <w:vAlign w:val="bottom"/>
            <w:hideMark/>
          </w:tcPr>
          <w:p w14:paraId="6B2B1641"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Общо</w:t>
            </w:r>
          </w:p>
        </w:tc>
        <w:tc>
          <w:tcPr>
            <w:tcW w:w="1034" w:type="pct"/>
            <w:tcBorders>
              <w:top w:val="nil"/>
              <w:left w:val="single" w:sz="4" w:space="0" w:color="auto"/>
              <w:bottom w:val="single" w:sz="4" w:space="0" w:color="auto"/>
              <w:right w:val="nil"/>
            </w:tcBorders>
            <w:shd w:val="clear" w:color="000000" w:fill="00AEEF"/>
            <w:noWrap/>
            <w:vAlign w:val="bottom"/>
            <w:hideMark/>
          </w:tcPr>
          <w:p w14:paraId="6F01A629"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223 </w:t>
            </w:r>
          </w:p>
        </w:tc>
        <w:tc>
          <w:tcPr>
            <w:tcW w:w="1034" w:type="pct"/>
            <w:tcBorders>
              <w:top w:val="nil"/>
              <w:left w:val="single" w:sz="4" w:space="0" w:color="auto"/>
              <w:bottom w:val="single" w:sz="4" w:space="0" w:color="auto"/>
              <w:right w:val="single" w:sz="4" w:space="0" w:color="auto"/>
            </w:tcBorders>
            <w:shd w:val="clear" w:color="000000" w:fill="00AEEF"/>
            <w:noWrap/>
            <w:vAlign w:val="bottom"/>
            <w:hideMark/>
          </w:tcPr>
          <w:p w14:paraId="2D505820"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185 </w:t>
            </w:r>
          </w:p>
        </w:tc>
      </w:tr>
    </w:tbl>
    <w:p w14:paraId="75F963A8" w14:textId="77777777" w:rsidR="003F67E7" w:rsidRDefault="003F67E7" w:rsidP="003F67E7"/>
    <w:tbl>
      <w:tblPr>
        <w:tblW w:w="5000" w:type="pct"/>
        <w:tblCellMar>
          <w:left w:w="70" w:type="dxa"/>
          <w:right w:w="70" w:type="dxa"/>
        </w:tblCellMar>
        <w:tblLook w:val="04A0" w:firstRow="1" w:lastRow="0" w:firstColumn="1" w:lastColumn="0" w:noHBand="0" w:noVBand="1"/>
      </w:tblPr>
      <w:tblGrid>
        <w:gridCol w:w="5547"/>
        <w:gridCol w:w="2030"/>
        <w:gridCol w:w="2030"/>
      </w:tblGrid>
      <w:tr w:rsidR="003F67E7" w:rsidRPr="003F67E7" w14:paraId="3176C770" w14:textId="77777777" w:rsidTr="003F67E7">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471FFE97"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Финансови пасиви, отчитани по амортизирана стойност - текущи</w:t>
            </w:r>
          </w:p>
        </w:tc>
      </w:tr>
      <w:tr w:rsidR="003F67E7" w:rsidRPr="003F67E7" w14:paraId="3D9AF53A" w14:textId="77777777" w:rsidTr="003F67E7">
        <w:trPr>
          <w:trHeight w:val="255"/>
        </w:trPr>
        <w:tc>
          <w:tcPr>
            <w:tcW w:w="3097" w:type="pct"/>
            <w:tcBorders>
              <w:top w:val="nil"/>
              <w:left w:val="single" w:sz="4" w:space="0" w:color="auto"/>
              <w:bottom w:val="single" w:sz="4" w:space="0" w:color="auto"/>
              <w:right w:val="nil"/>
            </w:tcBorders>
            <w:shd w:val="clear" w:color="000000" w:fill="FFFFFF"/>
            <w:noWrap/>
            <w:vAlign w:val="bottom"/>
            <w:hideMark/>
          </w:tcPr>
          <w:p w14:paraId="34CDF2B3"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Вид</w:t>
            </w:r>
          </w:p>
        </w:tc>
        <w:tc>
          <w:tcPr>
            <w:tcW w:w="952" w:type="pct"/>
            <w:tcBorders>
              <w:top w:val="nil"/>
              <w:left w:val="single" w:sz="4" w:space="0" w:color="auto"/>
              <w:bottom w:val="single" w:sz="4" w:space="0" w:color="auto"/>
              <w:right w:val="single" w:sz="4" w:space="0" w:color="auto"/>
            </w:tcBorders>
            <w:shd w:val="clear" w:color="000000" w:fill="FFFFFF"/>
            <w:noWrap/>
            <w:vAlign w:val="center"/>
            <w:hideMark/>
          </w:tcPr>
          <w:p w14:paraId="5BE47CCA"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30.6.2024 г.</w:t>
            </w:r>
          </w:p>
        </w:tc>
        <w:tc>
          <w:tcPr>
            <w:tcW w:w="952" w:type="pct"/>
            <w:tcBorders>
              <w:top w:val="nil"/>
              <w:left w:val="nil"/>
              <w:bottom w:val="single" w:sz="4" w:space="0" w:color="auto"/>
              <w:right w:val="single" w:sz="4" w:space="0" w:color="auto"/>
            </w:tcBorders>
            <w:shd w:val="clear" w:color="000000" w:fill="FFFFFF"/>
            <w:noWrap/>
            <w:vAlign w:val="center"/>
            <w:hideMark/>
          </w:tcPr>
          <w:p w14:paraId="67944153"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31.12.2023 г.</w:t>
            </w:r>
          </w:p>
        </w:tc>
      </w:tr>
      <w:tr w:rsidR="003F67E7" w:rsidRPr="003F67E7" w14:paraId="58DDCE0B" w14:textId="77777777" w:rsidTr="003F67E7">
        <w:trPr>
          <w:trHeight w:val="255"/>
        </w:trPr>
        <w:tc>
          <w:tcPr>
            <w:tcW w:w="3097" w:type="pct"/>
            <w:tcBorders>
              <w:top w:val="nil"/>
              <w:left w:val="single" w:sz="4" w:space="0" w:color="auto"/>
              <w:bottom w:val="single" w:sz="4" w:space="0" w:color="auto"/>
              <w:right w:val="nil"/>
            </w:tcBorders>
            <w:shd w:val="clear" w:color="000000" w:fill="FFFFFF"/>
            <w:vAlign w:val="bottom"/>
            <w:hideMark/>
          </w:tcPr>
          <w:p w14:paraId="7CBE975F"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Кредити и заеми, отчитани по амортизирана стойност</w:t>
            </w:r>
          </w:p>
        </w:tc>
        <w:tc>
          <w:tcPr>
            <w:tcW w:w="952" w:type="pct"/>
            <w:tcBorders>
              <w:top w:val="nil"/>
              <w:left w:val="single" w:sz="4" w:space="0" w:color="auto"/>
              <w:bottom w:val="single" w:sz="4" w:space="0" w:color="auto"/>
              <w:right w:val="nil"/>
            </w:tcBorders>
            <w:shd w:val="clear" w:color="000000" w:fill="FFFFFF"/>
            <w:noWrap/>
            <w:vAlign w:val="bottom"/>
            <w:hideMark/>
          </w:tcPr>
          <w:p w14:paraId="36C20788"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186 </w:t>
            </w:r>
          </w:p>
        </w:tc>
        <w:tc>
          <w:tcPr>
            <w:tcW w:w="952" w:type="pct"/>
            <w:tcBorders>
              <w:top w:val="nil"/>
              <w:left w:val="single" w:sz="4" w:space="0" w:color="auto"/>
              <w:bottom w:val="single" w:sz="4" w:space="0" w:color="auto"/>
              <w:right w:val="nil"/>
            </w:tcBorders>
            <w:shd w:val="clear" w:color="000000" w:fill="FFFFFF"/>
            <w:noWrap/>
            <w:vAlign w:val="bottom"/>
            <w:hideMark/>
          </w:tcPr>
          <w:p w14:paraId="4CA7B529"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148 </w:t>
            </w:r>
          </w:p>
        </w:tc>
      </w:tr>
      <w:tr w:rsidR="003F67E7" w:rsidRPr="003F67E7" w14:paraId="4D032AA9" w14:textId="77777777" w:rsidTr="003F67E7">
        <w:trPr>
          <w:trHeight w:val="255"/>
        </w:trPr>
        <w:tc>
          <w:tcPr>
            <w:tcW w:w="3097" w:type="pct"/>
            <w:tcBorders>
              <w:top w:val="nil"/>
              <w:left w:val="single" w:sz="4" w:space="0" w:color="auto"/>
              <w:bottom w:val="single" w:sz="4" w:space="0" w:color="auto"/>
              <w:right w:val="nil"/>
            </w:tcBorders>
            <w:shd w:val="clear" w:color="000000" w:fill="FFFFFF"/>
            <w:vAlign w:val="bottom"/>
            <w:hideMark/>
          </w:tcPr>
          <w:p w14:paraId="50366844"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Задължения по цесии, отчитани по амортизирана стойност</w:t>
            </w:r>
          </w:p>
        </w:tc>
        <w:tc>
          <w:tcPr>
            <w:tcW w:w="952" w:type="pct"/>
            <w:tcBorders>
              <w:top w:val="nil"/>
              <w:left w:val="single" w:sz="4" w:space="0" w:color="auto"/>
              <w:bottom w:val="single" w:sz="4" w:space="0" w:color="auto"/>
              <w:right w:val="nil"/>
            </w:tcBorders>
            <w:shd w:val="clear" w:color="000000" w:fill="FFFFFF"/>
            <w:noWrap/>
            <w:vAlign w:val="bottom"/>
            <w:hideMark/>
          </w:tcPr>
          <w:p w14:paraId="524AE499"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37 </w:t>
            </w:r>
          </w:p>
        </w:tc>
        <w:tc>
          <w:tcPr>
            <w:tcW w:w="952" w:type="pct"/>
            <w:tcBorders>
              <w:top w:val="nil"/>
              <w:left w:val="single" w:sz="4" w:space="0" w:color="auto"/>
              <w:bottom w:val="single" w:sz="4" w:space="0" w:color="auto"/>
              <w:right w:val="nil"/>
            </w:tcBorders>
            <w:shd w:val="clear" w:color="000000" w:fill="FFFFFF"/>
            <w:noWrap/>
            <w:vAlign w:val="bottom"/>
            <w:hideMark/>
          </w:tcPr>
          <w:p w14:paraId="1E30B101"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37 </w:t>
            </w:r>
          </w:p>
        </w:tc>
      </w:tr>
      <w:tr w:rsidR="003F67E7" w:rsidRPr="003F67E7" w14:paraId="04F26D0C" w14:textId="77777777" w:rsidTr="003F67E7">
        <w:trPr>
          <w:trHeight w:val="255"/>
        </w:trPr>
        <w:tc>
          <w:tcPr>
            <w:tcW w:w="3097" w:type="pct"/>
            <w:tcBorders>
              <w:top w:val="nil"/>
              <w:left w:val="single" w:sz="4" w:space="0" w:color="auto"/>
              <w:bottom w:val="single" w:sz="4" w:space="0" w:color="auto"/>
              <w:right w:val="nil"/>
            </w:tcBorders>
            <w:shd w:val="clear" w:color="000000" w:fill="00AEEF"/>
            <w:noWrap/>
            <w:vAlign w:val="bottom"/>
            <w:hideMark/>
          </w:tcPr>
          <w:p w14:paraId="0D88712F"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Общо</w:t>
            </w:r>
          </w:p>
        </w:tc>
        <w:tc>
          <w:tcPr>
            <w:tcW w:w="952" w:type="pct"/>
            <w:tcBorders>
              <w:top w:val="nil"/>
              <w:left w:val="single" w:sz="4" w:space="0" w:color="auto"/>
              <w:bottom w:val="single" w:sz="4" w:space="0" w:color="auto"/>
              <w:right w:val="nil"/>
            </w:tcBorders>
            <w:shd w:val="clear" w:color="000000" w:fill="00AEEF"/>
            <w:noWrap/>
            <w:vAlign w:val="bottom"/>
            <w:hideMark/>
          </w:tcPr>
          <w:p w14:paraId="466ADF1B"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223 </w:t>
            </w:r>
          </w:p>
        </w:tc>
        <w:tc>
          <w:tcPr>
            <w:tcW w:w="952" w:type="pct"/>
            <w:tcBorders>
              <w:top w:val="nil"/>
              <w:left w:val="single" w:sz="4" w:space="0" w:color="auto"/>
              <w:bottom w:val="single" w:sz="4" w:space="0" w:color="auto"/>
              <w:right w:val="single" w:sz="4" w:space="0" w:color="auto"/>
            </w:tcBorders>
            <w:shd w:val="clear" w:color="000000" w:fill="00AEEF"/>
            <w:noWrap/>
            <w:vAlign w:val="bottom"/>
            <w:hideMark/>
          </w:tcPr>
          <w:p w14:paraId="0CFDF025"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185 </w:t>
            </w:r>
          </w:p>
        </w:tc>
      </w:tr>
    </w:tbl>
    <w:p w14:paraId="30424696" w14:textId="77777777" w:rsidR="00A80B93" w:rsidRDefault="00A80B93" w:rsidP="00D66436"/>
    <w:p w14:paraId="12D31272" w14:textId="3BCBF211" w:rsidR="009B160C" w:rsidRDefault="009B160C" w:rsidP="00D66436"/>
    <w:tbl>
      <w:tblPr>
        <w:tblW w:w="5000" w:type="pct"/>
        <w:tblCellMar>
          <w:left w:w="70" w:type="dxa"/>
          <w:right w:w="70" w:type="dxa"/>
        </w:tblCellMar>
        <w:tblLook w:val="04A0" w:firstRow="1" w:lastRow="0" w:firstColumn="1" w:lastColumn="0" w:noHBand="0" w:noVBand="1"/>
      </w:tblPr>
      <w:tblGrid>
        <w:gridCol w:w="5547"/>
        <w:gridCol w:w="2030"/>
        <w:gridCol w:w="2030"/>
      </w:tblGrid>
      <w:tr w:rsidR="003F67E7" w:rsidRPr="003F67E7" w14:paraId="484D49E8" w14:textId="77777777" w:rsidTr="003F67E7">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12CC7265"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Кредити и заеми, отчитани по амортизирана стойност - текущи</w:t>
            </w:r>
          </w:p>
        </w:tc>
      </w:tr>
      <w:tr w:rsidR="003F67E7" w:rsidRPr="003F67E7" w14:paraId="3CC45CC6" w14:textId="77777777" w:rsidTr="003F67E7">
        <w:trPr>
          <w:trHeight w:val="255"/>
        </w:trPr>
        <w:tc>
          <w:tcPr>
            <w:tcW w:w="3097" w:type="pct"/>
            <w:tcBorders>
              <w:top w:val="nil"/>
              <w:left w:val="single" w:sz="4" w:space="0" w:color="auto"/>
              <w:bottom w:val="single" w:sz="4" w:space="0" w:color="auto"/>
              <w:right w:val="single" w:sz="4" w:space="0" w:color="auto"/>
            </w:tcBorders>
            <w:shd w:val="clear" w:color="000000" w:fill="FFFFFF"/>
            <w:noWrap/>
            <w:vAlign w:val="bottom"/>
            <w:hideMark/>
          </w:tcPr>
          <w:p w14:paraId="5819327B"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Вид</w:t>
            </w:r>
          </w:p>
        </w:tc>
        <w:tc>
          <w:tcPr>
            <w:tcW w:w="952" w:type="pct"/>
            <w:tcBorders>
              <w:top w:val="nil"/>
              <w:left w:val="nil"/>
              <w:bottom w:val="single" w:sz="4" w:space="0" w:color="auto"/>
              <w:right w:val="single" w:sz="4" w:space="0" w:color="auto"/>
            </w:tcBorders>
            <w:shd w:val="clear" w:color="000000" w:fill="FFFFFF"/>
            <w:noWrap/>
            <w:vAlign w:val="center"/>
            <w:hideMark/>
          </w:tcPr>
          <w:p w14:paraId="59B2736C"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30.6.2024 г.</w:t>
            </w:r>
          </w:p>
        </w:tc>
        <w:tc>
          <w:tcPr>
            <w:tcW w:w="952" w:type="pct"/>
            <w:tcBorders>
              <w:top w:val="nil"/>
              <w:left w:val="nil"/>
              <w:bottom w:val="single" w:sz="4" w:space="0" w:color="auto"/>
              <w:right w:val="single" w:sz="4" w:space="0" w:color="auto"/>
            </w:tcBorders>
            <w:shd w:val="clear" w:color="000000" w:fill="FFFFFF"/>
            <w:noWrap/>
            <w:vAlign w:val="center"/>
            <w:hideMark/>
          </w:tcPr>
          <w:p w14:paraId="2E02CECD"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31.12.2023 г.</w:t>
            </w:r>
          </w:p>
        </w:tc>
      </w:tr>
      <w:tr w:rsidR="003F67E7" w:rsidRPr="003F67E7" w14:paraId="77E4192F" w14:textId="77777777" w:rsidTr="003F67E7">
        <w:trPr>
          <w:trHeight w:val="510"/>
        </w:trPr>
        <w:tc>
          <w:tcPr>
            <w:tcW w:w="3097" w:type="pct"/>
            <w:tcBorders>
              <w:top w:val="nil"/>
              <w:left w:val="single" w:sz="4" w:space="0" w:color="auto"/>
              <w:bottom w:val="single" w:sz="4" w:space="0" w:color="auto"/>
              <w:right w:val="nil"/>
            </w:tcBorders>
            <w:shd w:val="clear" w:color="000000" w:fill="FFFFFF"/>
            <w:vAlign w:val="bottom"/>
            <w:hideMark/>
          </w:tcPr>
          <w:p w14:paraId="5427EAA6"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Задължения по кредити и заеми към свързани лица в групата, в т.ч.:</w:t>
            </w:r>
          </w:p>
        </w:tc>
        <w:tc>
          <w:tcPr>
            <w:tcW w:w="952" w:type="pct"/>
            <w:tcBorders>
              <w:top w:val="nil"/>
              <w:left w:val="single" w:sz="4" w:space="0" w:color="auto"/>
              <w:bottom w:val="single" w:sz="4" w:space="0" w:color="auto"/>
              <w:right w:val="nil"/>
            </w:tcBorders>
            <w:shd w:val="clear" w:color="000000" w:fill="FFFFFF"/>
            <w:noWrap/>
            <w:vAlign w:val="bottom"/>
            <w:hideMark/>
          </w:tcPr>
          <w:p w14:paraId="1A61D087"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18 </w:t>
            </w:r>
          </w:p>
        </w:tc>
        <w:tc>
          <w:tcPr>
            <w:tcW w:w="952" w:type="pct"/>
            <w:tcBorders>
              <w:top w:val="nil"/>
              <w:left w:val="single" w:sz="4" w:space="0" w:color="auto"/>
              <w:bottom w:val="single" w:sz="4" w:space="0" w:color="auto"/>
              <w:right w:val="single" w:sz="4" w:space="0" w:color="auto"/>
            </w:tcBorders>
            <w:shd w:val="clear" w:color="000000" w:fill="FFFFFF"/>
            <w:noWrap/>
            <w:vAlign w:val="bottom"/>
            <w:hideMark/>
          </w:tcPr>
          <w:p w14:paraId="358985F0"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22 </w:t>
            </w:r>
          </w:p>
        </w:tc>
      </w:tr>
      <w:tr w:rsidR="003F67E7" w:rsidRPr="003F67E7" w14:paraId="2981A1DF" w14:textId="77777777" w:rsidTr="003F67E7">
        <w:trPr>
          <w:trHeight w:val="510"/>
        </w:trPr>
        <w:tc>
          <w:tcPr>
            <w:tcW w:w="3097" w:type="pct"/>
            <w:tcBorders>
              <w:top w:val="nil"/>
              <w:left w:val="single" w:sz="4" w:space="0" w:color="auto"/>
              <w:bottom w:val="single" w:sz="4" w:space="0" w:color="auto"/>
              <w:right w:val="nil"/>
            </w:tcBorders>
            <w:shd w:val="clear" w:color="000000" w:fill="FFFFFF"/>
            <w:vAlign w:val="bottom"/>
            <w:hideMark/>
          </w:tcPr>
          <w:p w14:paraId="04A7077B"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Задължения за главници по кредити и заеми към свързани лица в групата</w:t>
            </w:r>
          </w:p>
        </w:tc>
        <w:tc>
          <w:tcPr>
            <w:tcW w:w="952" w:type="pct"/>
            <w:tcBorders>
              <w:top w:val="nil"/>
              <w:left w:val="single" w:sz="4" w:space="0" w:color="auto"/>
              <w:bottom w:val="single" w:sz="4" w:space="0" w:color="auto"/>
              <w:right w:val="nil"/>
            </w:tcBorders>
            <w:shd w:val="clear" w:color="000000" w:fill="FFFFFF"/>
            <w:noWrap/>
            <w:vAlign w:val="bottom"/>
            <w:hideMark/>
          </w:tcPr>
          <w:p w14:paraId="16D6A046" w14:textId="77777777" w:rsidR="003F67E7" w:rsidRPr="003F67E7" w:rsidRDefault="003F67E7" w:rsidP="003F67E7">
            <w:pPr>
              <w:jc w:val="center"/>
              <w:rPr>
                <w:rFonts w:ascii="Arial" w:hAnsi="Arial" w:cs="Arial"/>
                <w:sz w:val="20"/>
                <w:lang w:eastAsia="bg-BG"/>
              </w:rPr>
            </w:pPr>
            <w:r w:rsidRPr="003F67E7">
              <w:rPr>
                <w:rFonts w:ascii="Arial" w:hAnsi="Arial" w:cs="Arial"/>
                <w:sz w:val="20"/>
                <w:lang w:eastAsia="bg-BG"/>
              </w:rPr>
              <w:t xml:space="preserve">                              15 </w:t>
            </w:r>
          </w:p>
        </w:tc>
        <w:tc>
          <w:tcPr>
            <w:tcW w:w="952" w:type="pct"/>
            <w:tcBorders>
              <w:top w:val="nil"/>
              <w:left w:val="single" w:sz="4" w:space="0" w:color="auto"/>
              <w:bottom w:val="single" w:sz="4" w:space="0" w:color="auto"/>
              <w:right w:val="nil"/>
            </w:tcBorders>
            <w:shd w:val="clear" w:color="000000" w:fill="FFFFFF"/>
            <w:noWrap/>
            <w:vAlign w:val="bottom"/>
            <w:hideMark/>
          </w:tcPr>
          <w:p w14:paraId="42CF65D0" w14:textId="77777777" w:rsidR="003F67E7" w:rsidRPr="003F67E7" w:rsidRDefault="003F67E7" w:rsidP="003F67E7">
            <w:pPr>
              <w:jc w:val="center"/>
              <w:rPr>
                <w:rFonts w:ascii="Arial" w:hAnsi="Arial" w:cs="Arial"/>
                <w:sz w:val="20"/>
                <w:lang w:eastAsia="bg-BG"/>
              </w:rPr>
            </w:pPr>
            <w:r w:rsidRPr="003F67E7">
              <w:rPr>
                <w:rFonts w:ascii="Arial" w:hAnsi="Arial" w:cs="Arial"/>
                <w:sz w:val="20"/>
                <w:lang w:eastAsia="bg-BG"/>
              </w:rPr>
              <w:t xml:space="preserve">                              19 </w:t>
            </w:r>
          </w:p>
        </w:tc>
      </w:tr>
      <w:tr w:rsidR="003F67E7" w:rsidRPr="003F67E7" w14:paraId="43DA068E" w14:textId="77777777" w:rsidTr="003F67E7">
        <w:trPr>
          <w:trHeight w:val="510"/>
        </w:trPr>
        <w:tc>
          <w:tcPr>
            <w:tcW w:w="3097" w:type="pct"/>
            <w:tcBorders>
              <w:top w:val="nil"/>
              <w:left w:val="single" w:sz="4" w:space="0" w:color="auto"/>
              <w:bottom w:val="single" w:sz="4" w:space="0" w:color="auto"/>
              <w:right w:val="nil"/>
            </w:tcBorders>
            <w:shd w:val="clear" w:color="000000" w:fill="FFFFFF"/>
            <w:vAlign w:val="bottom"/>
            <w:hideMark/>
          </w:tcPr>
          <w:p w14:paraId="6D2BC286"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Задължения за лихви по кредити и заеми към свързани лица в групата</w:t>
            </w:r>
          </w:p>
        </w:tc>
        <w:tc>
          <w:tcPr>
            <w:tcW w:w="952" w:type="pct"/>
            <w:tcBorders>
              <w:top w:val="nil"/>
              <w:left w:val="single" w:sz="4" w:space="0" w:color="auto"/>
              <w:bottom w:val="single" w:sz="4" w:space="0" w:color="auto"/>
              <w:right w:val="nil"/>
            </w:tcBorders>
            <w:shd w:val="clear" w:color="000000" w:fill="FFFFFF"/>
            <w:noWrap/>
            <w:vAlign w:val="bottom"/>
            <w:hideMark/>
          </w:tcPr>
          <w:p w14:paraId="42D278B4" w14:textId="77777777" w:rsidR="003F67E7" w:rsidRPr="003F67E7" w:rsidRDefault="003F67E7" w:rsidP="003F67E7">
            <w:pPr>
              <w:jc w:val="center"/>
              <w:rPr>
                <w:rFonts w:ascii="Arial" w:hAnsi="Arial" w:cs="Arial"/>
                <w:sz w:val="20"/>
                <w:lang w:eastAsia="bg-BG"/>
              </w:rPr>
            </w:pPr>
            <w:r w:rsidRPr="003F67E7">
              <w:rPr>
                <w:rFonts w:ascii="Arial" w:hAnsi="Arial" w:cs="Arial"/>
                <w:sz w:val="20"/>
                <w:lang w:eastAsia="bg-BG"/>
              </w:rPr>
              <w:t xml:space="preserve">                                3 </w:t>
            </w:r>
          </w:p>
        </w:tc>
        <w:tc>
          <w:tcPr>
            <w:tcW w:w="952" w:type="pct"/>
            <w:tcBorders>
              <w:top w:val="nil"/>
              <w:left w:val="single" w:sz="4" w:space="0" w:color="auto"/>
              <w:bottom w:val="single" w:sz="4" w:space="0" w:color="auto"/>
              <w:right w:val="nil"/>
            </w:tcBorders>
            <w:shd w:val="clear" w:color="000000" w:fill="FFFFFF"/>
            <w:noWrap/>
            <w:vAlign w:val="bottom"/>
            <w:hideMark/>
          </w:tcPr>
          <w:p w14:paraId="1F6D6C22" w14:textId="77777777" w:rsidR="003F67E7" w:rsidRPr="003F67E7" w:rsidRDefault="003F67E7" w:rsidP="003F67E7">
            <w:pPr>
              <w:jc w:val="center"/>
              <w:rPr>
                <w:rFonts w:ascii="Arial" w:hAnsi="Arial" w:cs="Arial"/>
                <w:sz w:val="20"/>
                <w:lang w:eastAsia="bg-BG"/>
              </w:rPr>
            </w:pPr>
            <w:r w:rsidRPr="003F67E7">
              <w:rPr>
                <w:rFonts w:ascii="Arial" w:hAnsi="Arial" w:cs="Arial"/>
                <w:sz w:val="20"/>
                <w:lang w:eastAsia="bg-BG"/>
              </w:rPr>
              <w:t xml:space="preserve">                                3 </w:t>
            </w:r>
          </w:p>
        </w:tc>
      </w:tr>
      <w:tr w:rsidR="003F67E7" w:rsidRPr="003F67E7" w14:paraId="124CB182" w14:textId="77777777" w:rsidTr="003F67E7">
        <w:trPr>
          <w:trHeight w:val="510"/>
        </w:trPr>
        <w:tc>
          <w:tcPr>
            <w:tcW w:w="3097" w:type="pct"/>
            <w:tcBorders>
              <w:top w:val="nil"/>
              <w:left w:val="single" w:sz="4" w:space="0" w:color="auto"/>
              <w:bottom w:val="single" w:sz="4" w:space="0" w:color="auto"/>
              <w:right w:val="nil"/>
            </w:tcBorders>
            <w:shd w:val="clear" w:color="000000" w:fill="FFFFFF"/>
            <w:vAlign w:val="bottom"/>
            <w:hideMark/>
          </w:tcPr>
          <w:p w14:paraId="1E3A43E3"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Задължения по кредити и заеми към свързани лица извън групата, в т.ч.:</w:t>
            </w:r>
          </w:p>
        </w:tc>
        <w:tc>
          <w:tcPr>
            <w:tcW w:w="952" w:type="pct"/>
            <w:tcBorders>
              <w:top w:val="nil"/>
              <w:left w:val="single" w:sz="4" w:space="0" w:color="auto"/>
              <w:bottom w:val="single" w:sz="4" w:space="0" w:color="auto"/>
              <w:right w:val="nil"/>
            </w:tcBorders>
            <w:shd w:val="clear" w:color="000000" w:fill="FFFFFF"/>
            <w:noWrap/>
            <w:vAlign w:val="bottom"/>
            <w:hideMark/>
          </w:tcPr>
          <w:p w14:paraId="3C4B2E30"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168 </w:t>
            </w:r>
          </w:p>
        </w:tc>
        <w:tc>
          <w:tcPr>
            <w:tcW w:w="952" w:type="pct"/>
            <w:tcBorders>
              <w:top w:val="nil"/>
              <w:left w:val="single" w:sz="4" w:space="0" w:color="auto"/>
              <w:bottom w:val="single" w:sz="4" w:space="0" w:color="auto"/>
              <w:right w:val="single" w:sz="4" w:space="0" w:color="auto"/>
            </w:tcBorders>
            <w:shd w:val="clear" w:color="000000" w:fill="FFFFFF"/>
            <w:noWrap/>
            <w:vAlign w:val="bottom"/>
            <w:hideMark/>
          </w:tcPr>
          <w:p w14:paraId="2B37AF4C"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126 </w:t>
            </w:r>
          </w:p>
        </w:tc>
      </w:tr>
      <w:tr w:rsidR="003F67E7" w:rsidRPr="003F67E7" w14:paraId="574D4E30" w14:textId="77777777" w:rsidTr="003F67E7">
        <w:trPr>
          <w:trHeight w:val="510"/>
        </w:trPr>
        <w:tc>
          <w:tcPr>
            <w:tcW w:w="3097" w:type="pct"/>
            <w:tcBorders>
              <w:top w:val="nil"/>
              <w:left w:val="single" w:sz="4" w:space="0" w:color="auto"/>
              <w:bottom w:val="single" w:sz="4" w:space="0" w:color="auto"/>
              <w:right w:val="nil"/>
            </w:tcBorders>
            <w:shd w:val="clear" w:color="000000" w:fill="FFFFFF"/>
            <w:vAlign w:val="bottom"/>
            <w:hideMark/>
          </w:tcPr>
          <w:p w14:paraId="234272DD"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Задължения за главници по кредити и заеми към свързани лица извън групата</w:t>
            </w:r>
          </w:p>
        </w:tc>
        <w:tc>
          <w:tcPr>
            <w:tcW w:w="952" w:type="pct"/>
            <w:tcBorders>
              <w:top w:val="nil"/>
              <w:left w:val="single" w:sz="4" w:space="0" w:color="auto"/>
              <w:bottom w:val="single" w:sz="4" w:space="0" w:color="auto"/>
              <w:right w:val="nil"/>
            </w:tcBorders>
            <w:shd w:val="clear" w:color="000000" w:fill="FFFFFF"/>
            <w:noWrap/>
            <w:vAlign w:val="bottom"/>
            <w:hideMark/>
          </w:tcPr>
          <w:p w14:paraId="473D4953" w14:textId="77777777" w:rsidR="003F67E7" w:rsidRPr="003F67E7" w:rsidRDefault="003F67E7" w:rsidP="003F67E7">
            <w:pPr>
              <w:jc w:val="center"/>
              <w:rPr>
                <w:rFonts w:ascii="Arial" w:hAnsi="Arial" w:cs="Arial"/>
                <w:sz w:val="20"/>
                <w:lang w:eastAsia="bg-BG"/>
              </w:rPr>
            </w:pPr>
            <w:r w:rsidRPr="003F67E7">
              <w:rPr>
                <w:rFonts w:ascii="Arial" w:hAnsi="Arial" w:cs="Arial"/>
                <w:sz w:val="20"/>
                <w:lang w:eastAsia="bg-BG"/>
              </w:rPr>
              <w:t xml:space="preserve">                            154 </w:t>
            </w:r>
          </w:p>
        </w:tc>
        <w:tc>
          <w:tcPr>
            <w:tcW w:w="952" w:type="pct"/>
            <w:tcBorders>
              <w:top w:val="nil"/>
              <w:left w:val="single" w:sz="4" w:space="0" w:color="auto"/>
              <w:bottom w:val="single" w:sz="4" w:space="0" w:color="auto"/>
              <w:right w:val="single" w:sz="4" w:space="0" w:color="auto"/>
            </w:tcBorders>
            <w:shd w:val="clear" w:color="000000" w:fill="FFFFFF"/>
            <w:noWrap/>
            <w:vAlign w:val="bottom"/>
            <w:hideMark/>
          </w:tcPr>
          <w:p w14:paraId="1532C21B" w14:textId="77777777" w:rsidR="003F67E7" w:rsidRPr="003F67E7" w:rsidRDefault="003F67E7" w:rsidP="003F67E7">
            <w:pPr>
              <w:jc w:val="center"/>
              <w:rPr>
                <w:rFonts w:ascii="Arial" w:hAnsi="Arial" w:cs="Arial"/>
                <w:sz w:val="20"/>
                <w:lang w:eastAsia="bg-BG"/>
              </w:rPr>
            </w:pPr>
            <w:r w:rsidRPr="003F67E7">
              <w:rPr>
                <w:rFonts w:ascii="Arial" w:hAnsi="Arial" w:cs="Arial"/>
                <w:sz w:val="20"/>
                <w:lang w:eastAsia="bg-BG"/>
              </w:rPr>
              <w:t xml:space="preserve">                            115 </w:t>
            </w:r>
          </w:p>
        </w:tc>
      </w:tr>
      <w:tr w:rsidR="003F67E7" w:rsidRPr="003F67E7" w14:paraId="57572A3F" w14:textId="77777777" w:rsidTr="003F67E7">
        <w:trPr>
          <w:trHeight w:val="510"/>
        </w:trPr>
        <w:tc>
          <w:tcPr>
            <w:tcW w:w="3097" w:type="pct"/>
            <w:tcBorders>
              <w:top w:val="nil"/>
              <w:left w:val="single" w:sz="4" w:space="0" w:color="auto"/>
              <w:bottom w:val="single" w:sz="4" w:space="0" w:color="auto"/>
              <w:right w:val="nil"/>
            </w:tcBorders>
            <w:shd w:val="clear" w:color="000000" w:fill="FFFFFF"/>
            <w:vAlign w:val="bottom"/>
            <w:hideMark/>
          </w:tcPr>
          <w:p w14:paraId="4BBD731C"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Задължения за лихви по кредити и заеми към свързани лица извън групата</w:t>
            </w:r>
          </w:p>
        </w:tc>
        <w:tc>
          <w:tcPr>
            <w:tcW w:w="952" w:type="pct"/>
            <w:tcBorders>
              <w:top w:val="nil"/>
              <w:left w:val="single" w:sz="4" w:space="0" w:color="auto"/>
              <w:bottom w:val="single" w:sz="4" w:space="0" w:color="auto"/>
              <w:right w:val="nil"/>
            </w:tcBorders>
            <w:shd w:val="clear" w:color="000000" w:fill="FFFFFF"/>
            <w:noWrap/>
            <w:vAlign w:val="bottom"/>
            <w:hideMark/>
          </w:tcPr>
          <w:p w14:paraId="3DF5D3B0" w14:textId="77777777" w:rsidR="003F67E7" w:rsidRPr="003F67E7" w:rsidRDefault="003F67E7" w:rsidP="003F67E7">
            <w:pPr>
              <w:jc w:val="center"/>
              <w:rPr>
                <w:rFonts w:ascii="Arial" w:hAnsi="Arial" w:cs="Arial"/>
                <w:sz w:val="20"/>
                <w:lang w:eastAsia="bg-BG"/>
              </w:rPr>
            </w:pPr>
            <w:r w:rsidRPr="003F67E7">
              <w:rPr>
                <w:rFonts w:ascii="Arial" w:hAnsi="Arial" w:cs="Arial"/>
                <w:sz w:val="20"/>
                <w:lang w:eastAsia="bg-BG"/>
              </w:rPr>
              <w:t xml:space="preserve">                              14 </w:t>
            </w:r>
          </w:p>
        </w:tc>
        <w:tc>
          <w:tcPr>
            <w:tcW w:w="952" w:type="pct"/>
            <w:tcBorders>
              <w:top w:val="nil"/>
              <w:left w:val="single" w:sz="4" w:space="0" w:color="auto"/>
              <w:bottom w:val="single" w:sz="4" w:space="0" w:color="auto"/>
              <w:right w:val="single" w:sz="4" w:space="0" w:color="auto"/>
            </w:tcBorders>
            <w:shd w:val="clear" w:color="000000" w:fill="FFFFFF"/>
            <w:noWrap/>
            <w:vAlign w:val="bottom"/>
            <w:hideMark/>
          </w:tcPr>
          <w:p w14:paraId="1AC6CA9A" w14:textId="77777777" w:rsidR="003F67E7" w:rsidRPr="003F67E7" w:rsidRDefault="003F67E7" w:rsidP="003F67E7">
            <w:pPr>
              <w:jc w:val="center"/>
              <w:rPr>
                <w:rFonts w:ascii="Arial" w:hAnsi="Arial" w:cs="Arial"/>
                <w:sz w:val="20"/>
                <w:lang w:eastAsia="bg-BG"/>
              </w:rPr>
            </w:pPr>
            <w:r w:rsidRPr="003F67E7">
              <w:rPr>
                <w:rFonts w:ascii="Arial" w:hAnsi="Arial" w:cs="Arial"/>
                <w:sz w:val="20"/>
                <w:lang w:eastAsia="bg-BG"/>
              </w:rPr>
              <w:t xml:space="preserve">                              11 </w:t>
            </w:r>
          </w:p>
        </w:tc>
      </w:tr>
      <w:tr w:rsidR="003F67E7" w:rsidRPr="003F67E7" w14:paraId="4C90D4EE" w14:textId="77777777" w:rsidTr="003F67E7">
        <w:trPr>
          <w:trHeight w:val="255"/>
        </w:trPr>
        <w:tc>
          <w:tcPr>
            <w:tcW w:w="3097" w:type="pct"/>
            <w:tcBorders>
              <w:top w:val="nil"/>
              <w:left w:val="single" w:sz="4" w:space="0" w:color="auto"/>
              <w:bottom w:val="single" w:sz="4" w:space="0" w:color="auto"/>
              <w:right w:val="nil"/>
            </w:tcBorders>
            <w:shd w:val="clear" w:color="000000" w:fill="00AEEF"/>
            <w:noWrap/>
            <w:vAlign w:val="bottom"/>
            <w:hideMark/>
          </w:tcPr>
          <w:p w14:paraId="45FC847C"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Общо</w:t>
            </w:r>
          </w:p>
        </w:tc>
        <w:tc>
          <w:tcPr>
            <w:tcW w:w="952" w:type="pct"/>
            <w:tcBorders>
              <w:top w:val="nil"/>
              <w:left w:val="single" w:sz="4" w:space="0" w:color="auto"/>
              <w:bottom w:val="single" w:sz="4" w:space="0" w:color="auto"/>
              <w:right w:val="nil"/>
            </w:tcBorders>
            <w:shd w:val="clear" w:color="000000" w:fill="00AEEF"/>
            <w:noWrap/>
            <w:vAlign w:val="bottom"/>
            <w:hideMark/>
          </w:tcPr>
          <w:p w14:paraId="03735B79"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186 </w:t>
            </w:r>
          </w:p>
        </w:tc>
        <w:tc>
          <w:tcPr>
            <w:tcW w:w="952" w:type="pct"/>
            <w:tcBorders>
              <w:top w:val="nil"/>
              <w:left w:val="single" w:sz="4" w:space="0" w:color="auto"/>
              <w:bottom w:val="single" w:sz="4" w:space="0" w:color="auto"/>
              <w:right w:val="single" w:sz="4" w:space="0" w:color="auto"/>
            </w:tcBorders>
            <w:shd w:val="clear" w:color="000000" w:fill="00AEEF"/>
            <w:noWrap/>
            <w:vAlign w:val="bottom"/>
            <w:hideMark/>
          </w:tcPr>
          <w:p w14:paraId="7B88DCF0"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148 </w:t>
            </w:r>
          </w:p>
        </w:tc>
      </w:tr>
    </w:tbl>
    <w:p w14:paraId="360DFD2D" w14:textId="77777777" w:rsidR="003F67E7" w:rsidRDefault="003F67E7" w:rsidP="00D66436"/>
    <w:p w14:paraId="03E30057" w14:textId="77777777" w:rsidR="003F67E7" w:rsidRDefault="003F67E7" w:rsidP="00EA220E"/>
    <w:tbl>
      <w:tblPr>
        <w:tblW w:w="5000" w:type="pct"/>
        <w:tblCellMar>
          <w:left w:w="70" w:type="dxa"/>
          <w:right w:w="70" w:type="dxa"/>
        </w:tblCellMar>
        <w:tblLook w:val="04A0" w:firstRow="1" w:lastRow="0" w:firstColumn="1" w:lastColumn="0" w:noHBand="0" w:noVBand="1"/>
      </w:tblPr>
      <w:tblGrid>
        <w:gridCol w:w="5547"/>
        <w:gridCol w:w="2030"/>
        <w:gridCol w:w="2030"/>
      </w:tblGrid>
      <w:tr w:rsidR="003F67E7" w:rsidRPr="003F67E7" w14:paraId="2F770401" w14:textId="77777777" w:rsidTr="003F67E7">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5B8F9C96"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lastRenderedPageBreak/>
              <w:t>Задължения по цесии, отчитани по амортизирана стойност - текущи</w:t>
            </w:r>
          </w:p>
        </w:tc>
      </w:tr>
      <w:tr w:rsidR="003F67E7" w:rsidRPr="003F67E7" w14:paraId="33870040" w14:textId="77777777" w:rsidTr="003F67E7">
        <w:trPr>
          <w:trHeight w:val="255"/>
        </w:trPr>
        <w:tc>
          <w:tcPr>
            <w:tcW w:w="3097" w:type="pct"/>
            <w:tcBorders>
              <w:top w:val="nil"/>
              <w:left w:val="single" w:sz="4" w:space="0" w:color="auto"/>
              <w:bottom w:val="single" w:sz="4" w:space="0" w:color="auto"/>
              <w:right w:val="nil"/>
            </w:tcBorders>
            <w:shd w:val="clear" w:color="000000" w:fill="FFFFFF"/>
            <w:noWrap/>
            <w:vAlign w:val="bottom"/>
            <w:hideMark/>
          </w:tcPr>
          <w:p w14:paraId="03E16838"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Вид</w:t>
            </w:r>
          </w:p>
        </w:tc>
        <w:tc>
          <w:tcPr>
            <w:tcW w:w="952" w:type="pct"/>
            <w:tcBorders>
              <w:top w:val="nil"/>
              <w:left w:val="single" w:sz="4" w:space="0" w:color="auto"/>
              <w:bottom w:val="single" w:sz="4" w:space="0" w:color="auto"/>
              <w:right w:val="single" w:sz="4" w:space="0" w:color="auto"/>
            </w:tcBorders>
            <w:shd w:val="clear" w:color="000000" w:fill="FFFFFF"/>
            <w:noWrap/>
            <w:vAlign w:val="center"/>
            <w:hideMark/>
          </w:tcPr>
          <w:p w14:paraId="7967D540"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30.6.2024 г.</w:t>
            </w:r>
          </w:p>
        </w:tc>
        <w:tc>
          <w:tcPr>
            <w:tcW w:w="952" w:type="pct"/>
            <w:tcBorders>
              <w:top w:val="nil"/>
              <w:left w:val="nil"/>
              <w:bottom w:val="single" w:sz="4" w:space="0" w:color="auto"/>
              <w:right w:val="single" w:sz="4" w:space="0" w:color="auto"/>
            </w:tcBorders>
            <w:shd w:val="clear" w:color="000000" w:fill="FFFFFF"/>
            <w:noWrap/>
            <w:vAlign w:val="center"/>
            <w:hideMark/>
          </w:tcPr>
          <w:p w14:paraId="1F6CFF33"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31.12.2023 г.</w:t>
            </w:r>
          </w:p>
        </w:tc>
      </w:tr>
      <w:tr w:rsidR="003F67E7" w:rsidRPr="003F67E7" w14:paraId="491F8558" w14:textId="77777777" w:rsidTr="003F67E7">
        <w:trPr>
          <w:trHeight w:val="255"/>
        </w:trPr>
        <w:tc>
          <w:tcPr>
            <w:tcW w:w="3097" w:type="pct"/>
            <w:tcBorders>
              <w:top w:val="nil"/>
              <w:left w:val="single" w:sz="4" w:space="0" w:color="auto"/>
              <w:bottom w:val="single" w:sz="4" w:space="0" w:color="auto"/>
              <w:right w:val="nil"/>
            </w:tcBorders>
            <w:shd w:val="clear" w:color="000000" w:fill="FFFFFF"/>
            <w:vAlign w:val="bottom"/>
            <w:hideMark/>
          </w:tcPr>
          <w:p w14:paraId="5D215DFB"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Задължения по цесии към свързани лица в групата, в т.ч.:</w:t>
            </w:r>
          </w:p>
        </w:tc>
        <w:tc>
          <w:tcPr>
            <w:tcW w:w="952" w:type="pct"/>
            <w:tcBorders>
              <w:top w:val="nil"/>
              <w:left w:val="single" w:sz="4" w:space="0" w:color="auto"/>
              <w:bottom w:val="single" w:sz="4" w:space="0" w:color="auto"/>
              <w:right w:val="nil"/>
            </w:tcBorders>
            <w:shd w:val="clear" w:color="000000" w:fill="FFFFFF"/>
            <w:noWrap/>
            <w:vAlign w:val="bottom"/>
            <w:hideMark/>
          </w:tcPr>
          <w:p w14:paraId="641F5201"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37 </w:t>
            </w:r>
          </w:p>
        </w:tc>
        <w:tc>
          <w:tcPr>
            <w:tcW w:w="952" w:type="pct"/>
            <w:tcBorders>
              <w:top w:val="nil"/>
              <w:left w:val="single" w:sz="4" w:space="0" w:color="auto"/>
              <w:bottom w:val="single" w:sz="4" w:space="0" w:color="auto"/>
              <w:right w:val="single" w:sz="4" w:space="0" w:color="auto"/>
            </w:tcBorders>
            <w:shd w:val="clear" w:color="000000" w:fill="FFFFFF"/>
            <w:noWrap/>
            <w:vAlign w:val="bottom"/>
            <w:hideMark/>
          </w:tcPr>
          <w:p w14:paraId="2099D8D1"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37 </w:t>
            </w:r>
          </w:p>
        </w:tc>
      </w:tr>
      <w:tr w:rsidR="003F67E7" w:rsidRPr="003F67E7" w14:paraId="45774DE7" w14:textId="77777777" w:rsidTr="003F67E7">
        <w:trPr>
          <w:trHeight w:val="255"/>
        </w:trPr>
        <w:tc>
          <w:tcPr>
            <w:tcW w:w="3097" w:type="pct"/>
            <w:tcBorders>
              <w:top w:val="nil"/>
              <w:left w:val="single" w:sz="4" w:space="0" w:color="auto"/>
              <w:bottom w:val="single" w:sz="4" w:space="0" w:color="auto"/>
              <w:right w:val="nil"/>
            </w:tcBorders>
            <w:shd w:val="clear" w:color="000000" w:fill="FFFFFF"/>
            <w:vAlign w:val="bottom"/>
            <w:hideMark/>
          </w:tcPr>
          <w:p w14:paraId="594B5C61"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Задължения за главници по цесии към свързани лица в групата</w:t>
            </w:r>
          </w:p>
        </w:tc>
        <w:tc>
          <w:tcPr>
            <w:tcW w:w="952" w:type="pct"/>
            <w:tcBorders>
              <w:top w:val="nil"/>
              <w:left w:val="single" w:sz="4" w:space="0" w:color="auto"/>
              <w:bottom w:val="single" w:sz="4" w:space="0" w:color="auto"/>
              <w:right w:val="nil"/>
            </w:tcBorders>
            <w:shd w:val="clear" w:color="000000" w:fill="FFFFFF"/>
            <w:noWrap/>
            <w:vAlign w:val="bottom"/>
            <w:hideMark/>
          </w:tcPr>
          <w:p w14:paraId="3B23E628" w14:textId="77777777" w:rsidR="003F67E7" w:rsidRPr="003F67E7" w:rsidRDefault="003F67E7" w:rsidP="003F67E7">
            <w:pPr>
              <w:jc w:val="center"/>
              <w:rPr>
                <w:rFonts w:ascii="Arial" w:hAnsi="Arial" w:cs="Arial"/>
                <w:sz w:val="20"/>
                <w:lang w:eastAsia="bg-BG"/>
              </w:rPr>
            </w:pPr>
            <w:r w:rsidRPr="003F67E7">
              <w:rPr>
                <w:rFonts w:ascii="Arial" w:hAnsi="Arial" w:cs="Arial"/>
                <w:sz w:val="20"/>
                <w:lang w:eastAsia="bg-BG"/>
              </w:rPr>
              <w:t xml:space="preserve">                              37 </w:t>
            </w:r>
          </w:p>
        </w:tc>
        <w:tc>
          <w:tcPr>
            <w:tcW w:w="952" w:type="pct"/>
            <w:tcBorders>
              <w:top w:val="nil"/>
              <w:left w:val="single" w:sz="4" w:space="0" w:color="auto"/>
              <w:bottom w:val="single" w:sz="4" w:space="0" w:color="auto"/>
              <w:right w:val="single" w:sz="4" w:space="0" w:color="auto"/>
            </w:tcBorders>
            <w:shd w:val="clear" w:color="000000" w:fill="FFFFFF"/>
            <w:noWrap/>
            <w:vAlign w:val="bottom"/>
            <w:hideMark/>
          </w:tcPr>
          <w:p w14:paraId="6B415C1A"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37 </w:t>
            </w:r>
          </w:p>
        </w:tc>
      </w:tr>
      <w:tr w:rsidR="003F67E7" w:rsidRPr="003F67E7" w14:paraId="283A00FA" w14:textId="77777777" w:rsidTr="003F67E7">
        <w:trPr>
          <w:trHeight w:val="255"/>
        </w:trPr>
        <w:tc>
          <w:tcPr>
            <w:tcW w:w="3097" w:type="pct"/>
            <w:tcBorders>
              <w:top w:val="nil"/>
              <w:left w:val="single" w:sz="4" w:space="0" w:color="auto"/>
              <w:bottom w:val="single" w:sz="4" w:space="0" w:color="auto"/>
              <w:right w:val="nil"/>
            </w:tcBorders>
            <w:shd w:val="clear" w:color="000000" w:fill="00AEEF"/>
            <w:noWrap/>
            <w:vAlign w:val="bottom"/>
            <w:hideMark/>
          </w:tcPr>
          <w:p w14:paraId="0CF46585"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Общо</w:t>
            </w:r>
          </w:p>
        </w:tc>
        <w:tc>
          <w:tcPr>
            <w:tcW w:w="952" w:type="pct"/>
            <w:tcBorders>
              <w:top w:val="nil"/>
              <w:left w:val="single" w:sz="4" w:space="0" w:color="auto"/>
              <w:bottom w:val="single" w:sz="4" w:space="0" w:color="auto"/>
              <w:right w:val="nil"/>
            </w:tcBorders>
            <w:shd w:val="clear" w:color="000000" w:fill="00AEEF"/>
            <w:noWrap/>
            <w:vAlign w:val="bottom"/>
            <w:hideMark/>
          </w:tcPr>
          <w:p w14:paraId="16E7678D"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37 </w:t>
            </w:r>
          </w:p>
        </w:tc>
        <w:tc>
          <w:tcPr>
            <w:tcW w:w="952" w:type="pct"/>
            <w:tcBorders>
              <w:top w:val="nil"/>
              <w:left w:val="single" w:sz="4" w:space="0" w:color="auto"/>
              <w:bottom w:val="single" w:sz="4" w:space="0" w:color="auto"/>
              <w:right w:val="single" w:sz="4" w:space="0" w:color="auto"/>
            </w:tcBorders>
            <w:shd w:val="clear" w:color="000000" w:fill="00AEEF"/>
            <w:noWrap/>
            <w:vAlign w:val="bottom"/>
            <w:hideMark/>
          </w:tcPr>
          <w:p w14:paraId="467C4398"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 xml:space="preserve">                              37 </w:t>
            </w:r>
          </w:p>
        </w:tc>
      </w:tr>
    </w:tbl>
    <w:p w14:paraId="3690C9BF" w14:textId="77777777" w:rsidR="003F67E7" w:rsidRPr="003F67E7" w:rsidRDefault="003F67E7" w:rsidP="00EA220E"/>
    <w:tbl>
      <w:tblPr>
        <w:tblW w:w="5000" w:type="pct"/>
        <w:tblCellMar>
          <w:left w:w="70" w:type="dxa"/>
          <w:right w:w="70" w:type="dxa"/>
        </w:tblCellMar>
        <w:tblLook w:val="04A0" w:firstRow="1" w:lastRow="0" w:firstColumn="1" w:lastColumn="0" w:noHBand="0" w:noVBand="1"/>
      </w:tblPr>
      <w:tblGrid>
        <w:gridCol w:w="1519"/>
        <w:gridCol w:w="4043"/>
        <w:gridCol w:w="4045"/>
      </w:tblGrid>
      <w:tr w:rsidR="003F67E7" w:rsidRPr="003F67E7" w14:paraId="433B6392" w14:textId="77777777" w:rsidTr="003F67E7">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BD037B" w14:textId="77777777" w:rsidR="003F67E7" w:rsidRPr="003F67E7" w:rsidRDefault="003F67E7" w:rsidP="003F67E7">
            <w:pPr>
              <w:jc w:val="left"/>
              <w:rPr>
                <w:rFonts w:ascii="Arial" w:hAnsi="Arial" w:cs="Arial"/>
                <w:b/>
                <w:bCs/>
                <w:sz w:val="20"/>
                <w:lang w:eastAsia="bg-BG"/>
              </w:rPr>
            </w:pPr>
            <w:bookmarkStart w:id="159" w:name="_Toc247959204"/>
            <w:bookmarkStart w:id="160" w:name="_Toc314519624"/>
            <w:bookmarkStart w:id="161" w:name="_Toc4683428"/>
            <w:bookmarkStart w:id="162" w:name="_Toc164268384"/>
            <w:r w:rsidRPr="003F67E7">
              <w:rPr>
                <w:rFonts w:ascii="Arial" w:hAnsi="Arial" w:cs="Arial"/>
                <w:b/>
                <w:bCs/>
                <w:sz w:val="20"/>
                <w:lang w:eastAsia="bg-BG"/>
              </w:rPr>
              <w:t>Балансова стойност на текущи финансови пасиви по валути (сумите са в BGN)</w:t>
            </w:r>
          </w:p>
        </w:tc>
      </w:tr>
      <w:tr w:rsidR="003F67E7" w:rsidRPr="003F67E7" w14:paraId="10E9A306" w14:textId="77777777" w:rsidTr="003F67E7">
        <w:trPr>
          <w:trHeight w:val="255"/>
        </w:trPr>
        <w:tc>
          <w:tcPr>
            <w:tcW w:w="791" w:type="pct"/>
            <w:tcBorders>
              <w:top w:val="nil"/>
              <w:left w:val="single" w:sz="4" w:space="0" w:color="auto"/>
              <w:bottom w:val="single" w:sz="4" w:space="0" w:color="auto"/>
              <w:right w:val="nil"/>
            </w:tcBorders>
            <w:shd w:val="clear" w:color="auto" w:fill="auto"/>
            <w:noWrap/>
            <w:vAlign w:val="bottom"/>
            <w:hideMark/>
          </w:tcPr>
          <w:p w14:paraId="5867A25E"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Валута</w:t>
            </w:r>
          </w:p>
        </w:tc>
        <w:tc>
          <w:tcPr>
            <w:tcW w:w="2104" w:type="pct"/>
            <w:tcBorders>
              <w:top w:val="nil"/>
              <w:left w:val="single" w:sz="4" w:space="0" w:color="auto"/>
              <w:bottom w:val="single" w:sz="4" w:space="0" w:color="auto"/>
              <w:right w:val="single" w:sz="4" w:space="0" w:color="auto"/>
            </w:tcBorders>
            <w:shd w:val="clear" w:color="000000" w:fill="FFFFFF"/>
            <w:noWrap/>
            <w:vAlign w:val="center"/>
            <w:hideMark/>
          </w:tcPr>
          <w:p w14:paraId="1ACCD12F"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30.6.2024 г.</w:t>
            </w:r>
          </w:p>
        </w:tc>
        <w:tc>
          <w:tcPr>
            <w:tcW w:w="2104" w:type="pct"/>
            <w:tcBorders>
              <w:top w:val="nil"/>
              <w:left w:val="nil"/>
              <w:bottom w:val="single" w:sz="4" w:space="0" w:color="auto"/>
              <w:right w:val="single" w:sz="4" w:space="0" w:color="auto"/>
            </w:tcBorders>
            <w:shd w:val="clear" w:color="000000" w:fill="FFFFFF"/>
            <w:noWrap/>
            <w:vAlign w:val="center"/>
            <w:hideMark/>
          </w:tcPr>
          <w:p w14:paraId="3E81B42B" w14:textId="77777777" w:rsidR="003F67E7" w:rsidRPr="003F67E7" w:rsidRDefault="003F67E7" w:rsidP="003F67E7">
            <w:pPr>
              <w:jc w:val="center"/>
              <w:rPr>
                <w:rFonts w:ascii="Arial" w:hAnsi="Arial" w:cs="Arial"/>
                <w:b/>
                <w:bCs/>
                <w:sz w:val="20"/>
                <w:lang w:eastAsia="bg-BG"/>
              </w:rPr>
            </w:pPr>
            <w:r w:rsidRPr="003F67E7">
              <w:rPr>
                <w:rFonts w:ascii="Arial" w:hAnsi="Arial" w:cs="Arial"/>
                <w:b/>
                <w:bCs/>
                <w:sz w:val="20"/>
                <w:lang w:eastAsia="bg-BG"/>
              </w:rPr>
              <w:t>31.12.2023 г.</w:t>
            </w:r>
          </w:p>
        </w:tc>
      </w:tr>
      <w:tr w:rsidR="003F67E7" w:rsidRPr="003F67E7" w14:paraId="622C40A6" w14:textId="77777777" w:rsidTr="003F67E7">
        <w:trPr>
          <w:trHeight w:val="255"/>
        </w:trPr>
        <w:tc>
          <w:tcPr>
            <w:tcW w:w="791" w:type="pct"/>
            <w:tcBorders>
              <w:top w:val="nil"/>
              <w:left w:val="single" w:sz="4" w:space="0" w:color="auto"/>
              <w:bottom w:val="single" w:sz="4" w:space="0" w:color="auto"/>
              <w:right w:val="nil"/>
            </w:tcBorders>
            <w:shd w:val="clear" w:color="auto" w:fill="auto"/>
            <w:noWrap/>
            <w:vAlign w:val="bottom"/>
            <w:hideMark/>
          </w:tcPr>
          <w:p w14:paraId="6E1FE901"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BGN</w:t>
            </w:r>
          </w:p>
        </w:tc>
        <w:tc>
          <w:tcPr>
            <w:tcW w:w="2104" w:type="pct"/>
            <w:tcBorders>
              <w:top w:val="nil"/>
              <w:left w:val="single" w:sz="4" w:space="0" w:color="auto"/>
              <w:bottom w:val="single" w:sz="4" w:space="0" w:color="auto"/>
              <w:right w:val="single" w:sz="4" w:space="0" w:color="auto"/>
            </w:tcBorders>
            <w:shd w:val="clear" w:color="auto" w:fill="auto"/>
            <w:noWrap/>
            <w:vAlign w:val="bottom"/>
            <w:hideMark/>
          </w:tcPr>
          <w:p w14:paraId="593AC4AC"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223 </w:t>
            </w:r>
          </w:p>
        </w:tc>
        <w:tc>
          <w:tcPr>
            <w:tcW w:w="2104" w:type="pct"/>
            <w:tcBorders>
              <w:top w:val="nil"/>
              <w:left w:val="nil"/>
              <w:bottom w:val="single" w:sz="4" w:space="0" w:color="auto"/>
              <w:right w:val="single" w:sz="4" w:space="0" w:color="auto"/>
            </w:tcBorders>
            <w:shd w:val="clear" w:color="auto" w:fill="auto"/>
            <w:noWrap/>
            <w:vAlign w:val="bottom"/>
            <w:hideMark/>
          </w:tcPr>
          <w:p w14:paraId="3E97D752"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185 </w:t>
            </w:r>
          </w:p>
        </w:tc>
      </w:tr>
      <w:tr w:rsidR="003F67E7" w:rsidRPr="003F67E7" w14:paraId="033CEE1B" w14:textId="77777777" w:rsidTr="003F67E7">
        <w:trPr>
          <w:trHeight w:val="255"/>
        </w:trPr>
        <w:tc>
          <w:tcPr>
            <w:tcW w:w="791" w:type="pct"/>
            <w:tcBorders>
              <w:top w:val="nil"/>
              <w:left w:val="single" w:sz="4" w:space="0" w:color="auto"/>
              <w:bottom w:val="single" w:sz="4" w:space="0" w:color="auto"/>
              <w:right w:val="nil"/>
            </w:tcBorders>
            <w:shd w:val="clear" w:color="000000" w:fill="00AEEF"/>
            <w:noWrap/>
            <w:vAlign w:val="bottom"/>
            <w:hideMark/>
          </w:tcPr>
          <w:p w14:paraId="56B914AB"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Общо </w:t>
            </w:r>
          </w:p>
        </w:tc>
        <w:tc>
          <w:tcPr>
            <w:tcW w:w="2104" w:type="pct"/>
            <w:tcBorders>
              <w:top w:val="nil"/>
              <w:left w:val="single" w:sz="4" w:space="0" w:color="auto"/>
              <w:bottom w:val="single" w:sz="4" w:space="0" w:color="auto"/>
              <w:right w:val="single" w:sz="4" w:space="0" w:color="auto"/>
            </w:tcBorders>
            <w:shd w:val="clear" w:color="000000" w:fill="00AEEF"/>
            <w:noWrap/>
            <w:vAlign w:val="bottom"/>
            <w:hideMark/>
          </w:tcPr>
          <w:p w14:paraId="155AC156"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223 </w:t>
            </w:r>
          </w:p>
        </w:tc>
        <w:tc>
          <w:tcPr>
            <w:tcW w:w="2104" w:type="pct"/>
            <w:tcBorders>
              <w:top w:val="nil"/>
              <w:left w:val="nil"/>
              <w:bottom w:val="single" w:sz="4" w:space="0" w:color="auto"/>
              <w:right w:val="single" w:sz="4" w:space="0" w:color="auto"/>
            </w:tcBorders>
            <w:shd w:val="clear" w:color="000000" w:fill="00AEEF"/>
            <w:noWrap/>
            <w:vAlign w:val="bottom"/>
            <w:hideMark/>
          </w:tcPr>
          <w:p w14:paraId="55B7B238"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185 </w:t>
            </w:r>
          </w:p>
        </w:tc>
      </w:tr>
    </w:tbl>
    <w:p w14:paraId="19F11406" w14:textId="77777777" w:rsidR="003F67E7" w:rsidRDefault="003F67E7" w:rsidP="000C2BB5">
      <w:pPr>
        <w:pStyle w:val="Heading1"/>
        <w:rPr>
          <w:rFonts w:ascii="Arial" w:hAnsi="Arial" w:cs="Arial"/>
          <w:snapToGrid w:val="0"/>
          <w:sz w:val="20"/>
          <w:szCs w:val="20"/>
          <w:lang w:val="bg-BG"/>
        </w:rPr>
      </w:pPr>
    </w:p>
    <w:p w14:paraId="6AD82855" w14:textId="77777777" w:rsidR="00B66DF8" w:rsidRPr="00B14C47" w:rsidRDefault="00B66DF8" w:rsidP="000C2BB5">
      <w:pPr>
        <w:pStyle w:val="Heading1"/>
        <w:rPr>
          <w:rFonts w:ascii="Arial" w:hAnsi="Arial" w:cs="Arial"/>
          <w:snapToGrid w:val="0"/>
          <w:sz w:val="20"/>
          <w:szCs w:val="20"/>
          <w:lang w:val="bg-BG"/>
        </w:rPr>
      </w:pPr>
      <w:r w:rsidRPr="00C61F24">
        <w:rPr>
          <w:rFonts w:ascii="Arial" w:hAnsi="Arial" w:cs="Arial"/>
          <w:snapToGrid w:val="0"/>
          <w:sz w:val="20"/>
          <w:szCs w:val="20"/>
          <w:lang w:val="bg-BG"/>
        </w:rPr>
        <w:t>IV. Д</w:t>
      </w:r>
      <w:bookmarkEnd w:id="159"/>
      <w:bookmarkEnd w:id="160"/>
      <w:r w:rsidRPr="00C61F24">
        <w:rPr>
          <w:rFonts w:ascii="Arial" w:hAnsi="Arial" w:cs="Arial"/>
          <w:snapToGrid w:val="0"/>
          <w:sz w:val="20"/>
          <w:szCs w:val="20"/>
          <w:lang w:val="bg-BG"/>
        </w:rPr>
        <w:t>РУГИ ОПОВЕСТЯВАНИЯ</w:t>
      </w:r>
      <w:bookmarkEnd w:id="161"/>
      <w:bookmarkEnd w:id="162"/>
    </w:p>
    <w:p w14:paraId="13391086" w14:textId="77777777" w:rsidR="00B66DF8" w:rsidRPr="00B14C47" w:rsidRDefault="00B66DF8" w:rsidP="00B66DF8">
      <w:pPr>
        <w:pStyle w:val="Heading2"/>
        <w:spacing w:before="0"/>
        <w:rPr>
          <w:rFonts w:ascii="Arial" w:hAnsi="Arial" w:cs="Arial"/>
          <w:i/>
          <w:sz w:val="20"/>
          <w:szCs w:val="20"/>
          <w:lang w:val="bg-BG"/>
        </w:rPr>
      </w:pPr>
      <w:bookmarkStart w:id="163" w:name="_Toc247959206"/>
      <w:bookmarkStart w:id="164" w:name="_Toc4683429"/>
      <w:bookmarkStart w:id="165" w:name="_Toc164268385"/>
      <w:bookmarkStart w:id="166" w:name="_Hlk509915326"/>
      <w:bookmarkStart w:id="167" w:name="_Toc87445295"/>
      <w:bookmarkStart w:id="168" w:name="_Toc87446131"/>
      <w:bookmarkStart w:id="169" w:name="_Toc247959209"/>
      <w:r w:rsidRPr="007E1002">
        <w:rPr>
          <w:rFonts w:ascii="Arial" w:hAnsi="Arial" w:cs="Arial"/>
          <w:i/>
          <w:sz w:val="20"/>
          <w:szCs w:val="20"/>
          <w:lang w:val="bg-BG"/>
        </w:rPr>
        <w:t>1. Свързани лица и сделки със свързани лица</w:t>
      </w:r>
      <w:bookmarkEnd w:id="163"/>
      <w:bookmarkEnd w:id="164"/>
      <w:bookmarkEnd w:id="165"/>
    </w:p>
    <w:p w14:paraId="0F3BA75F" w14:textId="77777777" w:rsidR="00FB735B" w:rsidRPr="00B14C47" w:rsidRDefault="00FB735B" w:rsidP="00FB735B">
      <w:pPr>
        <w:rPr>
          <w:rFonts w:ascii="Arial" w:hAnsi="Arial" w:cs="Arial"/>
          <w:bCs/>
          <w:iCs/>
          <w:szCs w:val="22"/>
          <w:lang w:val="en-US"/>
        </w:rPr>
      </w:pPr>
      <w:bookmarkStart w:id="170" w:name="_Hlk512242606"/>
      <w:bookmarkEnd w:id="166"/>
      <w:r w:rsidRPr="00B14C47">
        <w:rPr>
          <w:rFonts w:ascii="Arial" w:hAnsi="Arial" w:cs="Arial"/>
          <w:bCs/>
          <w:iCs/>
          <w:szCs w:val="22"/>
          <w:lang w:val="en-US"/>
        </w:rPr>
        <w:t>Дружеството оповестява следните свързани лица:</w:t>
      </w:r>
    </w:p>
    <w:p w14:paraId="7E909973" w14:textId="77777777" w:rsidR="00FB735B" w:rsidRPr="00B14C47"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Основните акционери са оповестени в приложение 2.5.1.</w:t>
      </w:r>
    </w:p>
    <w:p w14:paraId="0C5BC03D" w14:textId="77777777" w:rsidR="00FB735B" w:rsidRPr="00B14C47" w:rsidRDefault="00FB735B" w:rsidP="00FB735B">
      <w:pPr>
        <w:pStyle w:val="000Normal"/>
        <w:rPr>
          <w:rFonts w:ascii="Arial" w:hAnsi="Arial" w:cs="Arial"/>
          <w:iCs/>
          <w:sz w:val="22"/>
          <w:szCs w:val="22"/>
        </w:rPr>
      </w:pPr>
      <w:r w:rsidRPr="00B14C47">
        <w:rPr>
          <w:rFonts w:ascii="Arial" w:hAnsi="Arial" w:cs="Arial"/>
          <w:iCs/>
          <w:sz w:val="22"/>
          <w:szCs w:val="22"/>
          <w:lang w:val="en-US"/>
        </w:rPr>
        <w:t>Ключов ръководен персонал на предприятието – Съвет на директорите</w:t>
      </w:r>
      <w:r w:rsidRPr="00B14C47">
        <w:rPr>
          <w:rFonts w:ascii="Arial" w:hAnsi="Arial" w:cs="Arial"/>
          <w:iCs/>
          <w:sz w:val="22"/>
          <w:szCs w:val="22"/>
        </w:rPr>
        <w:t>.</w:t>
      </w:r>
    </w:p>
    <w:p w14:paraId="36EA8BCC" w14:textId="77777777" w:rsidR="00FB735B" w:rsidRPr="00B14C47" w:rsidRDefault="00FB735B" w:rsidP="00FB735B">
      <w:pPr>
        <w:pStyle w:val="000Normal"/>
        <w:rPr>
          <w:rFonts w:ascii="Arial" w:hAnsi="Arial" w:cs="Arial"/>
          <w:iCs/>
          <w:sz w:val="22"/>
          <w:szCs w:val="22"/>
        </w:rPr>
      </w:pPr>
      <w:r w:rsidRPr="00B14C47">
        <w:rPr>
          <w:rFonts w:ascii="Arial" w:hAnsi="Arial" w:cs="Arial"/>
          <w:iCs/>
          <w:sz w:val="22"/>
          <w:szCs w:val="22"/>
          <w:lang w:val="en-US"/>
        </w:rPr>
        <w:t>Антон Василев Божков – Председател и изпълнителен член</w:t>
      </w:r>
      <w:r w:rsidRPr="00B14C47">
        <w:rPr>
          <w:rFonts w:ascii="Arial" w:hAnsi="Arial" w:cs="Arial"/>
          <w:iCs/>
          <w:sz w:val="22"/>
          <w:szCs w:val="22"/>
        </w:rPr>
        <w:t xml:space="preserve"> на СД.</w:t>
      </w:r>
    </w:p>
    <w:p w14:paraId="5F01EE52" w14:textId="77777777" w:rsidR="00FB735B" w:rsidRPr="00B14C47" w:rsidRDefault="00FB735B" w:rsidP="00FB735B">
      <w:pPr>
        <w:pStyle w:val="000Normal"/>
        <w:rPr>
          <w:rFonts w:ascii="Arial" w:hAnsi="Arial" w:cs="Arial"/>
          <w:iCs/>
          <w:sz w:val="22"/>
          <w:szCs w:val="22"/>
        </w:rPr>
      </w:pPr>
      <w:r w:rsidRPr="00B14C47">
        <w:rPr>
          <w:rFonts w:ascii="Arial" w:hAnsi="Arial" w:cs="Arial"/>
          <w:iCs/>
          <w:sz w:val="22"/>
          <w:szCs w:val="22"/>
          <w:lang w:val="en-US"/>
        </w:rPr>
        <w:t>Членове</w:t>
      </w:r>
      <w:r w:rsidRPr="00B14C47">
        <w:rPr>
          <w:rFonts w:ascii="Arial" w:hAnsi="Arial" w:cs="Arial"/>
          <w:iCs/>
          <w:sz w:val="22"/>
          <w:szCs w:val="22"/>
        </w:rPr>
        <w:t>:</w:t>
      </w:r>
    </w:p>
    <w:p w14:paraId="68209821" w14:textId="77777777" w:rsidR="00FB735B" w:rsidRPr="00B14C47"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Емилия Кирилова Симеонова</w:t>
      </w:r>
    </w:p>
    <w:p w14:paraId="457909BF" w14:textId="77777777" w:rsidR="00FB735B" w:rsidRPr="00B14C47"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Татяна Христова Димитрова</w:t>
      </w:r>
    </w:p>
    <w:p w14:paraId="4F77C378" w14:textId="77777777" w:rsidR="00FB735B" w:rsidRPr="00B14C47"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Дъщерни предприятия на дружеството:</w:t>
      </w:r>
    </w:p>
    <w:p w14:paraId="4092BFB1" w14:textId="77777777" w:rsidR="00FB735B" w:rsidRPr="00B14C47" w:rsidRDefault="00FB735B" w:rsidP="00FB735B">
      <w:pPr>
        <w:rPr>
          <w:rFonts w:ascii="Arial" w:hAnsi="Arial" w:cs="Arial"/>
          <w:szCs w:val="22"/>
        </w:rPr>
      </w:pPr>
      <w:r w:rsidRPr="00B14C47">
        <w:rPr>
          <w:rFonts w:ascii="Arial" w:hAnsi="Arial" w:cs="Arial"/>
          <w:szCs w:val="22"/>
        </w:rPr>
        <w:t>Локомотивен и вагонен завод ЕАД - 100%  През 2012 г. „Инфра холдинг</w:t>
      </w:r>
      <w:r w:rsidR="00116896" w:rsidRPr="00B14C47">
        <w:rPr>
          <w:rFonts w:ascii="Arial" w:hAnsi="Arial" w:cs="Arial"/>
          <w:szCs w:val="22"/>
        </w:rPr>
        <w:t xml:space="preserve">“ </w:t>
      </w:r>
      <w:r w:rsidRPr="00B14C47">
        <w:rPr>
          <w:rFonts w:ascii="Arial" w:hAnsi="Arial" w:cs="Arial"/>
          <w:szCs w:val="22"/>
        </w:rPr>
        <w:t>АД е загубило контрола над финансовата и оперативна политика на Локомотивен и вагонен завод ЕАД  100% поради това че дружеството  e излязло в несъстоятелност С решение №196 от 06.07.2012 на Окръжен съд -Русе</w:t>
      </w:r>
    </w:p>
    <w:p w14:paraId="58D0AEC2" w14:textId="77777777" w:rsidR="00FB735B" w:rsidRPr="00B14C47" w:rsidRDefault="00FB735B" w:rsidP="00FB735B">
      <w:pPr>
        <w:rPr>
          <w:rFonts w:ascii="Arial" w:hAnsi="Arial" w:cs="Arial"/>
          <w:szCs w:val="22"/>
        </w:rPr>
      </w:pPr>
    </w:p>
    <w:p w14:paraId="58CD30ED" w14:textId="77777777" w:rsidR="00FB735B" w:rsidRPr="00B14C47" w:rsidRDefault="00FB735B" w:rsidP="00FB735B">
      <w:pPr>
        <w:rPr>
          <w:rFonts w:ascii="Arial" w:hAnsi="Arial" w:cs="Arial"/>
          <w:b/>
          <w:bCs/>
          <w:szCs w:val="22"/>
        </w:rPr>
      </w:pPr>
      <w:r w:rsidRPr="00B14C47">
        <w:rPr>
          <w:rFonts w:ascii="Arial" w:hAnsi="Arial" w:cs="Arial"/>
          <w:b/>
          <w:bCs/>
          <w:szCs w:val="22"/>
        </w:rPr>
        <w:t>Други свързани лица. Вид свързаност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8"/>
        <w:gridCol w:w="5799"/>
      </w:tblGrid>
      <w:tr w:rsidR="00FB735B" w:rsidRPr="00B14C47" w14:paraId="6CE246B8" w14:textId="77777777" w:rsidTr="00FB735B">
        <w:trPr>
          <w:trHeight w:val="234"/>
        </w:trPr>
        <w:tc>
          <w:tcPr>
            <w:tcW w:w="1982" w:type="pct"/>
            <w:shd w:val="clear" w:color="000000" w:fill="FFFFFF"/>
            <w:noWrap/>
            <w:vAlign w:val="bottom"/>
            <w:hideMark/>
          </w:tcPr>
          <w:p w14:paraId="52DAD5E1" w14:textId="77777777" w:rsidR="00FB735B" w:rsidRPr="00B14C47" w:rsidRDefault="00FB735B" w:rsidP="00FB735B">
            <w:pPr>
              <w:jc w:val="left"/>
              <w:rPr>
                <w:rFonts w:ascii="Arial" w:hAnsi="Arial" w:cs="Arial"/>
                <w:b/>
                <w:bCs/>
                <w:sz w:val="20"/>
                <w:lang w:eastAsia="bg-BG"/>
              </w:rPr>
            </w:pPr>
            <w:r w:rsidRPr="00B14C47">
              <w:rPr>
                <w:rFonts w:ascii="Arial" w:hAnsi="Arial" w:cs="Arial"/>
                <w:b/>
                <w:bCs/>
                <w:sz w:val="20"/>
                <w:lang w:eastAsia="bg-BG"/>
              </w:rPr>
              <w:t xml:space="preserve">Свързано лице </w:t>
            </w:r>
          </w:p>
        </w:tc>
        <w:tc>
          <w:tcPr>
            <w:tcW w:w="3018" w:type="pct"/>
            <w:shd w:val="clear" w:color="000000" w:fill="FFFFFF"/>
            <w:noWrap/>
            <w:vAlign w:val="bottom"/>
            <w:hideMark/>
          </w:tcPr>
          <w:p w14:paraId="304BF427" w14:textId="77777777" w:rsidR="00FB735B" w:rsidRPr="00B14C47" w:rsidRDefault="00FB735B" w:rsidP="00FB735B">
            <w:pPr>
              <w:jc w:val="left"/>
              <w:rPr>
                <w:rFonts w:ascii="Arial" w:hAnsi="Arial" w:cs="Arial"/>
                <w:b/>
                <w:bCs/>
                <w:sz w:val="20"/>
                <w:lang w:eastAsia="bg-BG"/>
              </w:rPr>
            </w:pPr>
            <w:r w:rsidRPr="00B14C47">
              <w:rPr>
                <w:rFonts w:ascii="Arial" w:hAnsi="Arial" w:cs="Arial"/>
                <w:b/>
                <w:bCs/>
                <w:sz w:val="20"/>
                <w:lang w:eastAsia="bg-BG"/>
              </w:rPr>
              <w:t>Вид свързаност</w:t>
            </w:r>
          </w:p>
        </w:tc>
      </w:tr>
      <w:tr w:rsidR="00FB735B" w:rsidRPr="00B14C47" w14:paraId="24A65005" w14:textId="77777777" w:rsidTr="00FB735B">
        <w:trPr>
          <w:trHeight w:val="279"/>
        </w:trPr>
        <w:tc>
          <w:tcPr>
            <w:tcW w:w="1982" w:type="pct"/>
            <w:shd w:val="clear" w:color="auto" w:fill="auto"/>
            <w:noWrap/>
            <w:vAlign w:val="bottom"/>
            <w:hideMark/>
          </w:tcPr>
          <w:p w14:paraId="3FBFF6C8"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Билдинг ЕООД</w:t>
            </w:r>
          </w:p>
        </w:tc>
        <w:tc>
          <w:tcPr>
            <w:tcW w:w="3018" w:type="pct"/>
            <w:shd w:val="clear" w:color="000000" w:fill="FFFFFF"/>
            <w:noWrap/>
            <w:vAlign w:val="bottom"/>
            <w:hideMark/>
          </w:tcPr>
          <w:p w14:paraId="426B2CE6" w14:textId="77777777" w:rsidR="00FB735B" w:rsidRPr="00B14C47" w:rsidRDefault="00FB735B" w:rsidP="00FB735B">
            <w:pPr>
              <w:rPr>
                <w:rFonts w:ascii="Arial" w:hAnsi="Arial" w:cs="Arial"/>
                <w:sz w:val="20"/>
                <w:lang w:eastAsia="bg-BG"/>
              </w:rPr>
            </w:pPr>
            <w:r w:rsidRPr="00B14C47">
              <w:rPr>
                <w:rFonts w:ascii="Arial" w:hAnsi="Arial" w:cs="Arial"/>
                <w:sz w:val="20"/>
                <w:lang w:eastAsia="bg-BG"/>
              </w:rPr>
              <w:t>Дъщерно д-во на Инфра Холдинг</w:t>
            </w:r>
          </w:p>
        </w:tc>
      </w:tr>
      <w:tr w:rsidR="00FB735B" w:rsidRPr="00B14C47" w14:paraId="73919DAB" w14:textId="77777777" w:rsidTr="00FB735B">
        <w:trPr>
          <w:trHeight w:val="270"/>
        </w:trPr>
        <w:tc>
          <w:tcPr>
            <w:tcW w:w="1982" w:type="pct"/>
            <w:shd w:val="clear" w:color="auto" w:fill="auto"/>
            <w:noWrap/>
            <w:vAlign w:val="bottom"/>
            <w:hideMark/>
          </w:tcPr>
          <w:p w14:paraId="1B5888D7" w14:textId="05DD3A25"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Минералс ЕООД</w:t>
            </w:r>
            <w:r w:rsidR="003F67E7">
              <w:rPr>
                <w:rFonts w:ascii="Arial" w:hAnsi="Arial" w:cs="Arial"/>
                <w:sz w:val="20"/>
                <w:lang w:eastAsia="bg-BG"/>
              </w:rPr>
              <w:t>- в ликвидация</w:t>
            </w:r>
          </w:p>
        </w:tc>
        <w:tc>
          <w:tcPr>
            <w:tcW w:w="3018" w:type="pct"/>
            <w:shd w:val="clear" w:color="000000" w:fill="FFFFFF"/>
            <w:noWrap/>
            <w:vAlign w:val="bottom"/>
            <w:hideMark/>
          </w:tcPr>
          <w:p w14:paraId="2E865C59" w14:textId="53873A87" w:rsidR="00FB735B" w:rsidRPr="00B14C47" w:rsidRDefault="00FB735B" w:rsidP="00FB735B">
            <w:pPr>
              <w:rPr>
                <w:rFonts w:ascii="Arial" w:hAnsi="Arial" w:cs="Arial"/>
                <w:sz w:val="20"/>
                <w:lang w:eastAsia="bg-BG"/>
              </w:rPr>
            </w:pPr>
            <w:r w:rsidRPr="00B14C47">
              <w:rPr>
                <w:rFonts w:ascii="Arial" w:hAnsi="Arial" w:cs="Arial"/>
                <w:sz w:val="20"/>
                <w:lang w:eastAsia="bg-BG"/>
              </w:rPr>
              <w:t>Дъщерно д-во на Инфра Билдинг</w:t>
            </w:r>
            <w:r w:rsidR="003F67E7">
              <w:rPr>
                <w:rFonts w:ascii="Arial" w:hAnsi="Arial" w:cs="Arial"/>
                <w:sz w:val="20"/>
                <w:lang w:eastAsia="bg-BG"/>
              </w:rPr>
              <w:t xml:space="preserve"> </w:t>
            </w:r>
          </w:p>
        </w:tc>
      </w:tr>
      <w:tr w:rsidR="00FB735B" w:rsidRPr="00B14C47" w14:paraId="6447AC41" w14:textId="77777777" w:rsidTr="00FB735B">
        <w:trPr>
          <w:trHeight w:val="274"/>
        </w:trPr>
        <w:tc>
          <w:tcPr>
            <w:tcW w:w="1982" w:type="pct"/>
            <w:shd w:val="clear" w:color="auto" w:fill="auto"/>
            <w:noWrap/>
            <w:vAlign w:val="bottom"/>
            <w:hideMark/>
          </w:tcPr>
          <w:p w14:paraId="345A9312"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Актив ЕООД</w:t>
            </w:r>
          </w:p>
        </w:tc>
        <w:tc>
          <w:tcPr>
            <w:tcW w:w="3018" w:type="pct"/>
            <w:shd w:val="clear" w:color="000000" w:fill="FFFFFF"/>
            <w:noWrap/>
            <w:hideMark/>
          </w:tcPr>
          <w:p w14:paraId="11C8ED63" w14:textId="77777777" w:rsidR="00FB735B" w:rsidRPr="00B14C47" w:rsidRDefault="00FB735B" w:rsidP="00FB735B">
            <w:pPr>
              <w:rPr>
                <w:rFonts w:ascii="Arial" w:hAnsi="Arial" w:cs="Arial"/>
              </w:rPr>
            </w:pPr>
            <w:r w:rsidRPr="00B14C47">
              <w:rPr>
                <w:rFonts w:ascii="Arial" w:hAnsi="Arial" w:cs="Arial"/>
                <w:sz w:val="20"/>
                <w:lang w:eastAsia="bg-BG"/>
              </w:rPr>
              <w:t>Дъщерно д-во на Инфра Билдинг</w:t>
            </w:r>
          </w:p>
        </w:tc>
      </w:tr>
      <w:tr w:rsidR="00FB735B" w:rsidRPr="00B14C47" w14:paraId="21ABBA5F" w14:textId="77777777" w:rsidTr="00FB735B">
        <w:trPr>
          <w:trHeight w:val="135"/>
        </w:trPr>
        <w:tc>
          <w:tcPr>
            <w:tcW w:w="1982" w:type="pct"/>
            <w:shd w:val="clear" w:color="auto" w:fill="auto"/>
            <w:noWrap/>
            <w:vAlign w:val="bottom"/>
            <w:hideMark/>
          </w:tcPr>
          <w:p w14:paraId="2CA829C8"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Имоти ЕООД</w:t>
            </w:r>
          </w:p>
        </w:tc>
        <w:tc>
          <w:tcPr>
            <w:tcW w:w="3018" w:type="pct"/>
            <w:shd w:val="clear" w:color="000000" w:fill="FFFFFF"/>
            <w:noWrap/>
            <w:hideMark/>
          </w:tcPr>
          <w:p w14:paraId="4A57B446" w14:textId="77777777" w:rsidR="00FB735B" w:rsidRPr="00B14C47" w:rsidRDefault="00FB735B" w:rsidP="00FB735B">
            <w:pPr>
              <w:rPr>
                <w:rFonts w:ascii="Arial" w:hAnsi="Arial" w:cs="Arial"/>
              </w:rPr>
            </w:pPr>
            <w:r w:rsidRPr="00B14C47">
              <w:rPr>
                <w:rFonts w:ascii="Arial" w:hAnsi="Arial" w:cs="Arial"/>
                <w:sz w:val="20"/>
                <w:lang w:eastAsia="bg-BG"/>
              </w:rPr>
              <w:t>Дъщерно д-во на Инфра Билдинг</w:t>
            </w:r>
          </w:p>
        </w:tc>
      </w:tr>
      <w:tr w:rsidR="00FB735B" w:rsidRPr="00B14C47" w14:paraId="17210984" w14:textId="77777777" w:rsidTr="00FB735B">
        <w:trPr>
          <w:trHeight w:val="181"/>
        </w:trPr>
        <w:tc>
          <w:tcPr>
            <w:tcW w:w="1982" w:type="pct"/>
            <w:shd w:val="clear" w:color="auto" w:fill="auto"/>
            <w:noWrap/>
            <w:vAlign w:val="bottom"/>
            <w:hideMark/>
          </w:tcPr>
          <w:p w14:paraId="5419994A" w14:textId="7DC25F49"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Рей</w:t>
            </w:r>
            <w:r w:rsidR="003F67E7">
              <w:rPr>
                <w:rFonts w:ascii="Arial" w:hAnsi="Arial" w:cs="Arial"/>
                <w:sz w:val="20"/>
                <w:lang w:eastAsia="bg-BG"/>
              </w:rPr>
              <w:t>луей</w:t>
            </w:r>
            <w:r w:rsidRPr="00B14C47">
              <w:rPr>
                <w:rFonts w:ascii="Arial" w:hAnsi="Arial" w:cs="Arial"/>
                <w:sz w:val="20"/>
                <w:lang w:eastAsia="bg-BG"/>
              </w:rPr>
              <w:t>с  ЕООД</w:t>
            </w:r>
          </w:p>
        </w:tc>
        <w:tc>
          <w:tcPr>
            <w:tcW w:w="3018" w:type="pct"/>
            <w:shd w:val="clear" w:color="000000" w:fill="FFFFFF"/>
            <w:noWrap/>
            <w:hideMark/>
          </w:tcPr>
          <w:p w14:paraId="751A905C" w14:textId="77777777" w:rsidR="00FB735B" w:rsidRPr="00B14C47" w:rsidRDefault="00FB735B" w:rsidP="00FB735B">
            <w:pPr>
              <w:rPr>
                <w:rFonts w:ascii="Arial" w:hAnsi="Arial" w:cs="Arial"/>
              </w:rPr>
            </w:pPr>
            <w:r w:rsidRPr="00B14C47">
              <w:rPr>
                <w:rFonts w:ascii="Arial" w:hAnsi="Arial" w:cs="Arial"/>
                <w:sz w:val="20"/>
                <w:lang w:eastAsia="bg-BG"/>
              </w:rPr>
              <w:t>Дъщерно д-во на Инфра Билдинг</w:t>
            </w:r>
          </w:p>
        </w:tc>
      </w:tr>
      <w:tr w:rsidR="00FB735B" w:rsidRPr="00B14C47" w14:paraId="74C61D96" w14:textId="77777777" w:rsidTr="00FB735B">
        <w:trPr>
          <w:trHeight w:val="133"/>
        </w:trPr>
        <w:tc>
          <w:tcPr>
            <w:tcW w:w="1982" w:type="pct"/>
            <w:shd w:val="clear" w:color="auto" w:fill="auto"/>
            <w:noWrap/>
            <w:vAlign w:val="bottom"/>
            <w:hideMark/>
          </w:tcPr>
          <w:p w14:paraId="5C656D10"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Витех строй  ЕООД</w:t>
            </w:r>
          </w:p>
        </w:tc>
        <w:tc>
          <w:tcPr>
            <w:tcW w:w="3018" w:type="pct"/>
            <w:shd w:val="clear" w:color="000000" w:fill="FFFFFF"/>
            <w:noWrap/>
            <w:vAlign w:val="bottom"/>
            <w:hideMark/>
          </w:tcPr>
          <w:p w14:paraId="3A15E384" w14:textId="77777777" w:rsidR="00FB735B" w:rsidRPr="00B14C47" w:rsidRDefault="00FB735B" w:rsidP="00FB735B">
            <w:pPr>
              <w:rPr>
                <w:rFonts w:ascii="Arial" w:hAnsi="Arial" w:cs="Arial"/>
                <w:sz w:val="20"/>
                <w:lang w:eastAsia="bg-BG"/>
              </w:rPr>
            </w:pPr>
            <w:r w:rsidRPr="00B14C47">
              <w:rPr>
                <w:rFonts w:ascii="Arial" w:hAnsi="Arial" w:cs="Arial"/>
                <w:sz w:val="20"/>
                <w:lang w:eastAsia="bg-BG"/>
              </w:rPr>
              <w:t>Дъщерно д-во на Инфра Холдинг</w:t>
            </w:r>
          </w:p>
        </w:tc>
      </w:tr>
      <w:tr w:rsidR="00FB735B" w:rsidRPr="00B14C47" w14:paraId="27D51C5C" w14:textId="77777777" w:rsidTr="00FB735B">
        <w:trPr>
          <w:trHeight w:val="279"/>
        </w:trPr>
        <w:tc>
          <w:tcPr>
            <w:tcW w:w="1982" w:type="pct"/>
            <w:shd w:val="clear" w:color="auto" w:fill="auto"/>
            <w:noWrap/>
            <w:vAlign w:val="bottom"/>
          </w:tcPr>
          <w:p w14:paraId="6F69ED23" w14:textId="730D6C38"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Германия</w:t>
            </w:r>
            <w:r w:rsidR="003F0CE5">
              <w:rPr>
                <w:rFonts w:ascii="Arial" w:hAnsi="Arial" w:cs="Arial"/>
                <w:sz w:val="20"/>
                <w:lang w:eastAsia="bg-BG"/>
              </w:rPr>
              <w:t xml:space="preserve"> Гмбх </w:t>
            </w:r>
            <w:r w:rsidR="003F67E7">
              <w:rPr>
                <w:rFonts w:ascii="Arial" w:hAnsi="Arial" w:cs="Arial"/>
                <w:sz w:val="20"/>
                <w:lang w:eastAsia="bg-BG"/>
              </w:rPr>
              <w:t>- в ликвидация</w:t>
            </w:r>
          </w:p>
        </w:tc>
        <w:tc>
          <w:tcPr>
            <w:tcW w:w="3018" w:type="pct"/>
            <w:shd w:val="clear" w:color="000000" w:fill="FFFFFF"/>
            <w:noWrap/>
          </w:tcPr>
          <w:p w14:paraId="4DBB5C6A" w14:textId="77777777" w:rsidR="00FB735B" w:rsidRPr="00B14C47" w:rsidRDefault="00FB735B" w:rsidP="00FB735B">
            <w:pPr>
              <w:rPr>
                <w:rFonts w:ascii="Arial" w:hAnsi="Arial" w:cs="Arial"/>
                <w:sz w:val="20"/>
                <w:lang w:eastAsia="bg-BG"/>
              </w:rPr>
            </w:pPr>
            <w:r w:rsidRPr="00B14C47">
              <w:rPr>
                <w:rFonts w:ascii="Arial" w:hAnsi="Arial" w:cs="Arial"/>
                <w:sz w:val="20"/>
                <w:lang w:eastAsia="bg-BG"/>
              </w:rPr>
              <w:t xml:space="preserve">Дъщерно дружество на Инфра Актив ЕООД </w:t>
            </w:r>
          </w:p>
        </w:tc>
      </w:tr>
    </w:tbl>
    <w:p w14:paraId="665FC13F" w14:textId="4CFE903E" w:rsidR="00FB735B" w:rsidRPr="00CA29CF" w:rsidRDefault="00FB735B" w:rsidP="00FB735B">
      <w:pPr>
        <w:pStyle w:val="000Normal"/>
        <w:rPr>
          <w:rFonts w:ascii="Arial" w:hAnsi="Arial" w:cs="Arial"/>
          <w:b/>
          <w:szCs w:val="20"/>
        </w:rPr>
      </w:pPr>
      <w:r w:rsidRPr="00CA29CF">
        <w:rPr>
          <w:rFonts w:ascii="Arial" w:hAnsi="Arial" w:cs="Arial"/>
          <w:b/>
          <w:szCs w:val="20"/>
        </w:rPr>
        <w:t>Дружеството оповестява следните сделки и разчети със свързани лица:</w:t>
      </w:r>
    </w:p>
    <w:tbl>
      <w:tblPr>
        <w:tblW w:w="4988" w:type="pct"/>
        <w:tblCellMar>
          <w:left w:w="70" w:type="dxa"/>
          <w:right w:w="70" w:type="dxa"/>
        </w:tblCellMar>
        <w:tblLook w:val="04A0" w:firstRow="1" w:lastRow="0" w:firstColumn="1" w:lastColumn="0" w:noHBand="0" w:noVBand="1"/>
      </w:tblPr>
      <w:tblGrid>
        <w:gridCol w:w="3422"/>
        <w:gridCol w:w="2248"/>
        <w:gridCol w:w="2078"/>
        <w:gridCol w:w="1836"/>
      </w:tblGrid>
      <w:tr w:rsidR="00F422BC" w:rsidRPr="00CA29CF" w14:paraId="73D53C13" w14:textId="77777777" w:rsidTr="00CA29CF">
        <w:trPr>
          <w:trHeight w:val="191"/>
        </w:trPr>
        <w:tc>
          <w:tcPr>
            <w:tcW w:w="5000" w:type="pct"/>
            <w:gridSpan w:val="4"/>
            <w:tcBorders>
              <w:top w:val="single" w:sz="4" w:space="0" w:color="auto"/>
              <w:left w:val="single" w:sz="4" w:space="0" w:color="auto"/>
              <w:bottom w:val="single" w:sz="4" w:space="0" w:color="auto"/>
              <w:right w:val="nil"/>
            </w:tcBorders>
            <w:shd w:val="clear" w:color="auto" w:fill="auto"/>
            <w:vAlign w:val="bottom"/>
            <w:hideMark/>
          </w:tcPr>
          <w:p w14:paraId="6EACBCD5" w14:textId="1E90E432" w:rsidR="00F422BC" w:rsidRPr="00CA29CF" w:rsidRDefault="00F422BC" w:rsidP="0046182B">
            <w:pPr>
              <w:jc w:val="left"/>
              <w:rPr>
                <w:rFonts w:ascii="Arial" w:hAnsi="Arial" w:cs="Arial"/>
                <w:b/>
                <w:bCs/>
                <w:sz w:val="20"/>
                <w:lang w:eastAsia="bg-BG"/>
              </w:rPr>
            </w:pPr>
            <w:bookmarkStart w:id="171" w:name="_Hlk160807347"/>
            <w:r w:rsidRPr="00CA29CF">
              <w:rPr>
                <w:rFonts w:ascii="Arial" w:hAnsi="Arial" w:cs="Arial"/>
                <w:b/>
                <w:bCs/>
                <w:sz w:val="20"/>
                <w:lang w:eastAsia="bg-BG"/>
              </w:rPr>
              <w:t>Салда на главници по заеми, предоставени</w:t>
            </w:r>
            <w:r w:rsidR="0067669F">
              <w:rPr>
                <w:rFonts w:ascii="Arial" w:hAnsi="Arial" w:cs="Arial"/>
                <w:b/>
                <w:bCs/>
                <w:sz w:val="20"/>
                <w:lang w:eastAsia="bg-BG"/>
              </w:rPr>
              <w:t xml:space="preserve"> на свързани лица в групата – 30.06</w:t>
            </w:r>
            <w:r w:rsidRPr="00CA29CF">
              <w:rPr>
                <w:rFonts w:ascii="Arial" w:hAnsi="Arial" w:cs="Arial"/>
                <w:b/>
                <w:bCs/>
                <w:sz w:val="20"/>
                <w:lang w:eastAsia="bg-BG"/>
              </w:rPr>
              <w:t>.202</w:t>
            </w:r>
            <w:r w:rsidR="007E1002">
              <w:rPr>
                <w:rFonts w:ascii="Arial" w:hAnsi="Arial" w:cs="Arial"/>
                <w:b/>
                <w:bCs/>
                <w:sz w:val="20"/>
                <w:lang w:eastAsia="bg-BG"/>
              </w:rPr>
              <w:t>4</w:t>
            </w:r>
            <w:r w:rsidRPr="00CA29CF">
              <w:rPr>
                <w:rFonts w:ascii="Arial" w:hAnsi="Arial" w:cs="Arial"/>
                <w:b/>
                <w:bCs/>
                <w:sz w:val="20"/>
                <w:lang w:eastAsia="bg-BG"/>
              </w:rPr>
              <w:t>г.</w:t>
            </w:r>
          </w:p>
        </w:tc>
      </w:tr>
      <w:tr w:rsidR="00F422BC" w:rsidRPr="00B14C47" w14:paraId="2CBECF70" w14:textId="77777777" w:rsidTr="00CA29CF">
        <w:trPr>
          <w:trHeight w:val="433"/>
        </w:trPr>
        <w:tc>
          <w:tcPr>
            <w:tcW w:w="178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66E991D" w14:textId="77777777" w:rsidR="00F422BC" w:rsidRPr="00B14C47" w:rsidRDefault="00F422BC" w:rsidP="0046182B">
            <w:pPr>
              <w:jc w:val="left"/>
              <w:rPr>
                <w:rFonts w:ascii="Arial" w:hAnsi="Arial" w:cs="Arial"/>
                <w:b/>
                <w:bCs/>
                <w:sz w:val="20"/>
                <w:lang w:eastAsia="bg-BG"/>
              </w:rPr>
            </w:pPr>
            <w:r w:rsidRPr="00B14C47">
              <w:rPr>
                <w:rFonts w:ascii="Arial" w:hAnsi="Arial" w:cs="Arial"/>
                <w:b/>
                <w:bCs/>
                <w:sz w:val="20"/>
                <w:lang w:eastAsia="bg-BG"/>
              </w:rPr>
              <w:t>Кредитополучател</w:t>
            </w:r>
          </w:p>
        </w:tc>
        <w:tc>
          <w:tcPr>
            <w:tcW w:w="3214"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BF4E33F" w14:textId="77777777" w:rsidR="00F422BC" w:rsidRPr="00B14C47" w:rsidRDefault="00F422BC" w:rsidP="0046182B">
            <w:pPr>
              <w:jc w:val="center"/>
              <w:rPr>
                <w:rFonts w:ascii="Arial" w:hAnsi="Arial" w:cs="Arial"/>
                <w:b/>
                <w:bCs/>
                <w:sz w:val="20"/>
                <w:lang w:eastAsia="bg-BG"/>
              </w:rPr>
            </w:pPr>
            <w:r w:rsidRPr="00B14C47">
              <w:rPr>
                <w:rFonts w:ascii="Arial" w:hAnsi="Arial" w:cs="Arial"/>
                <w:b/>
                <w:bCs/>
                <w:sz w:val="20"/>
                <w:lang w:eastAsia="bg-BG"/>
              </w:rPr>
              <w:t>Вземания</w:t>
            </w:r>
            <w:r w:rsidRPr="00B14C47">
              <w:rPr>
                <w:rFonts w:ascii="Arial" w:hAnsi="Arial" w:cs="Arial"/>
                <w:b/>
                <w:bCs/>
                <w:sz w:val="20"/>
                <w:lang w:eastAsia="bg-BG"/>
              </w:rPr>
              <w:br/>
              <w:t xml:space="preserve"> до 1 година</w:t>
            </w:r>
          </w:p>
        </w:tc>
      </w:tr>
      <w:tr w:rsidR="00F422BC" w:rsidRPr="00B14C47" w14:paraId="59A87D1F" w14:textId="77777777" w:rsidTr="00CA29CF">
        <w:trPr>
          <w:trHeight w:val="433"/>
        </w:trPr>
        <w:tc>
          <w:tcPr>
            <w:tcW w:w="1785" w:type="pct"/>
            <w:vMerge/>
            <w:tcBorders>
              <w:top w:val="nil"/>
              <w:left w:val="single" w:sz="4" w:space="0" w:color="auto"/>
              <w:bottom w:val="single" w:sz="4" w:space="0" w:color="000000"/>
              <w:right w:val="single" w:sz="4" w:space="0" w:color="auto"/>
            </w:tcBorders>
            <w:vAlign w:val="center"/>
            <w:hideMark/>
          </w:tcPr>
          <w:p w14:paraId="2F28D6BA" w14:textId="77777777" w:rsidR="00F422BC" w:rsidRPr="00B14C47" w:rsidRDefault="00F422BC" w:rsidP="0046182B">
            <w:pPr>
              <w:jc w:val="left"/>
              <w:rPr>
                <w:rFonts w:ascii="Arial" w:hAnsi="Arial" w:cs="Arial"/>
                <w:b/>
                <w:bCs/>
                <w:sz w:val="20"/>
                <w:lang w:eastAsia="bg-BG"/>
              </w:rPr>
            </w:pPr>
          </w:p>
        </w:tc>
        <w:tc>
          <w:tcPr>
            <w:tcW w:w="3214" w:type="pct"/>
            <w:gridSpan w:val="3"/>
            <w:vMerge/>
            <w:tcBorders>
              <w:top w:val="single" w:sz="4" w:space="0" w:color="auto"/>
              <w:left w:val="single" w:sz="4" w:space="0" w:color="auto"/>
              <w:bottom w:val="single" w:sz="4" w:space="0" w:color="000000"/>
              <w:right w:val="single" w:sz="4" w:space="0" w:color="000000"/>
            </w:tcBorders>
            <w:vAlign w:val="center"/>
            <w:hideMark/>
          </w:tcPr>
          <w:p w14:paraId="4CC26BA5" w14:textId="77777777" w:rsidR="00F422BC" w:rsidRPr="00B14C47" w:rsidRDefault="00F422BC" w:rsidP="0046182B">
            <w:pPr>
              <w:jc w:val="left"/>
              <w:rPr>
                <w:rFonts w:ascii="Arial" w:hAnsi="Arial" w:cs="Arial"/>
                <w:b/>
                <w:bCs/>
                <w:sz w:val="20"/>
                <w:lang w:eastAsia="bg-BG"/>
              </w:rPr>
            </w:pPr>
          </w:p>
        </w:tc>
      </w:tr>
      <w:tr w:rsidR="00F422BC" w:rsidRPr="00B14C47" w14:paraId="65A92953" w14:textId="77777777" w:rsidTr="00CA29CF">
        <w:trPr>
          <w:trHeight w:val="382"/>
        </w:trPr>
        <w:tc>
          <w:tcPr>
            <w:tcW w:w="1785" w:type="pct"/>
            <w:vMerge/>
            <w:tcBorders>
              <w:top w:val="nil"/>
              <w:left w:val="single" w:sz="4" w:space="0" w:color="auto"/>
              <w:bottom w:val="single" w:sz="4" w:space="0" w:color="000000"/>
              <w:right w:val="single" w:sz="4" w:space="0" w:color="auto"/>
            </w:tcBorders>
            <w:vAlign w:val="center"/>
            <w:hideMark/>
          </w:tcPr>
          <w:p w14:paraId="2FD4E27C" w14:textId="77777777" w:rsidR="00F422BC" w:rsidRPr="00B14C47" w:rsidRDefault="00F422BC" w:rsidP="0046182B">
            <w:pPr>
              <w:jc w:val="left"/>
              <w:rPr>
                <w:rFonts w:ascii="Arial" w:hAnsi="Arial" w:cs="Arial"/>
                <w:b/>
                <w:bCs/>
                <w:sz w:val="20"/>
                <w:lang w:eastAsia="bg-BG"/>
              </w:rPr>
            </w:pPr>
          </w:p>
        </w:tc>
        <w:tc>
          <w:tcPr>
            <w:tcW w:w="1173" w:type="pct"/>
            <w:tcBorders>
              <w:top w:val="nil"/>
              <w:left w:val="nil"/>
              <w:bottom w:val="single" w:sz="4" w:space="0" w:color="auto"/>
              <w:right w:val="single" w:sz="4" w:space="0" w:color="auto"/>
            </w:tcBorders>
            <w:shd w:val="clear" w:color="000000" w:fill="FFFFFF"/>
            <w:vAlign w:val="center"/>
            <w:hideMark/>
          </w:tcPr>
          <w:p w14:paraId="150168D2" w14:textId="77777777" w:rsidR="00F422BC" w:rsidRPr="00B14C47" w:rsidRDefault="00F422BC" w:rsidP="0046182B">
            <w:pPr>
              <w:jc w:val="center"/>
              <w:rPr>
                <w:rFonts w:ascii="Arial" w:hAnsi="Arial" w:cs="Arial"/>
                <w:b/>
                <w:bCs/>
                <w:sz w:val="20"/>
                <w:lang w:eastAsia="bg-BG"/>
              </w:rPr>
            </w:pPr>
            <w:r w:rsidRPr="00B14C47">
              <w:rPr>
                <w:rFonts w:ascii="Arial" w:hAnsi="Arial" w:cs="Arial"/>
                <w:b/>
                <w:bCs/>
                <w:sz w:val="20"/>
                <w:lang w:eastAsia="bg-BG"/>
              </w:rPr>
              <w:t>Брутна стойност</w:t>
            </w:r>
          </w:p>
        </w:tc>
        <w:tc>
          <w:tcPr>
            <w:tcW w:w="1084" w:type="pct"/>
            <w:tcBorders>
              <w:top w:val="nil"/>
              <w:left w:val="nil"/>
              <w:bottom w:val="single" w:sz="4" w:space="0" w:color="auto"/>
              <w:right w:val="single" w:sz="4" w:space="0" w:color="auto"/>
            </w:tcBorders>
            <w:shd w:val="clear" w:color="000000" w:fill="FFFFFF"/>
            <w:vAlign w:val="center"/>
            <w:hideMark/>
          </w:tcPr>
          <w:p w14:paraId="721EF57C" w14:textId="77777777" w:rsidR="00F422BC" w:rsidRPr="00B14C47" w:rsidRDefault="00F422BC" w:rsidP="0046182B">
            <w:pPr>
              <w:jc w:val="center"/>
              <w:rPr>
                <w:rFonts w:ascii="Arial" w:hAnsi="Arial" w:cs="Arial"/>
                <w:b/>
                <w:bCs/>
                <w:sz w:val="20"/>
                <w:lang w:eastAsia="bg-BG"/>
              </w:rPr>
            </w:pPr>
            <w:r w:rsidRPr="00B14C47">
              <w:rPr>
                <w:rFonts w:ascii="Arial" w:hAnsi="Arial" w:cs="Arial"/>
                <w:b/>
                <w:bCs/>
                <w:sz w:val="20"/>
                <w:lang w:eastAsia="bg-BG"/>
              </w:rPr>
              <w:t>Обезценки</w:t>
            </w:r>
          </w:p>
        </w:tc>
        <w:tc>
          <w:tcPr>
            <w:tcW w:w="957" w:type="pct"/>
            <w:tcBorders>
              <w:top w:val="nil"/>
              <w:left w:val="nil"/>
              <w:bottom w:val="single" w:sz="4" w:space="0" w:color="auto"/>
              <w:right w:val="single" w:sz="4" w:space="0" w:color="auto"/>
            </w:tcBorders>
            <w:shd w:val="clear" w:color="000000" w:fill="FFFFFF"/>
            <w:vAlign w:val="center"/>
            <w:hideMark/>
          </w:tcPr>
          <w:p w14:paraId="28BC94E7" w14:textId="77777777" w:rsidR="00F422BC" w:rsidRPr="00B14C47" w:rsidRDefault="00F422BC" w:rsidP="0046182B">
            <w:pPr>
              <w:jc w:val="center"/>
              <w:rPr>
                <w:rFonts w:ascii="Arial" w:hAnsi="Arial" w:cs="Arial"/>
                <w:b/>
                <w:bCs/>
                <w:sz w:val="20"/>
                <w:lang w:eastAsia="bg-BG"/>
              </w:rPr>
            </w:pPr>
            <w:r w:rsidRPr="00B14C47">
              <w:rPr>
                <w:rFonts w:ascii="Arial" w:hAnsi="Arial" w:cs="Arial"/>
                <w:b/>
                <w:bCs/>
                <w:sz w:val="20"/>
                <w:lang w:eastAsia="bg-BG"/>
              </w:rPr>
              <w:t>Балансова стойност</w:t>
            </w:r>
          </w:p>
        </w:tc>
      </w:tr>
      <w:tr w:rsidR="007E1002" w:rsidRPr="007E1002" w14:paraId="459811B5" w14:textId="77777777" w:rsidTr="007E1002">
        <w:trPr>
          <w:trHeight w:val="275"/>
        </w:trPr>
        <w:tc>
          <w:tcPr>
            <w:tcW w:w="1785" w:type="pct"/>
            <w:tcBorders>
              <w:top w:val="nil"/>
              <w:left w:val="single" w:sz="4" w:space="0" w:color="auto"/>
              <w:bottom w:val="single" w:sz="4" w:space="0" w:color="000000"/>
              <w:right w:val="single" w:sz="4" w:space="0" w:color="auto"/>
            </w:tcBorders>
            <w:vAlign w:val="center"/>
          </w:tcPr>
          <w:p w14:paraId="5F1C51AE" w14:textId="4B2A3886" w:rsidR="007E1002" w:rsidRPr="007E1002" w:rsidRDefault="007E1002" w:rsidP="0046182B">
            <w:pPr>
              <w:jc w:val="left"/>
              <w:rPr>
                <w:rFonts w:ascii="Arial" w:hAnsi="Arial" w:cs="Arial"/>
                <w:sz w:val="20"/>
                <w:lang w:eastAsia="bg-BG"/>
              </w:rPr>
            </w:pPr>
            <w:r>
              <w:rPr>
                <w:rFonts w:ascii="Arial" w:hAnsi="Arial" w:cs="Arial"/>
                <w:sz w:val="20"/>
                <w:lang w:eastAsia="bg-BG"/>
              </w:rPr>
              <w:t>Инфра Билдинг ЕООД</w:t>
            </w:r>
          </w:p>
        </w:tc>
        <w:tc>
          <w:tcPr>
            <w:tcW w:w="1173" w:type="pct"/>
            <w:tcBorders>
              <w:top w:val="nil"/>
              <w:left w:val="nil"/>
              <w:bottom w:val="single" w:sz="4" w:space="0" w:color="auto"/>
              <w:right w:val="single" w:sz="4" w:space="0" w:color="auto"/>
            </w:tcBorders>
            <w:shd w:val="clear" w:color="000000" w:fill="FFFFFF"/>
            <w:vAlign w:val="center"/>
          </w:tcPr>
          <w:p w14:paraId="5C767BFE" w14:textId="2DC73D3B" w:rsidR="007E1002" w:rsidRPr="007E1002" w:rsidRDefault="007E1002" w:rsidP="007E1002">
            <w:pPr>
              <w:jc w:val="left"/>
              <w:rPr>
                <w:rFonts w:ascii="Arial" w:hAnsi="Arial" w:cs="Arial"/>
                <w:sz w:val="20"/>
                <w:lang w:eastAsia="bg-BG"/>
              </w:rPr>
            </w:pPr>
            <w:r>
              <w:rPr>
                <w:rFonts w:ascii="Arial" w:hAnsi="Arial" w:cs="Arial"/>
                <w:sz w:val="20"/>
                <w:lang w:eastAsia="bg-BG"/>
              </w:rPr>
              <w:t xml:space="preserve">                                1</w:t>
            </w:r>
          </w:p>
        </w:tc>
        <w:tc>
          <w:tcPr>
            <w:tcW w:w="1084" w:type="pct"/>
            <w:tcBorders>
              <w:top w:val="nil"/>
              <w:left w:val="nil"/>
              <w:bottom w:val="single" w:sz="4" w:space="0" w:color="auto"/>
              <w:right w:val="single" w:sz="4" w:space="0" w:color="auto"/>
            </w:tcBorders>
            <w:shd w:val="clear" w:color="000000" w:fill="FFFFFF"/>
            <w:vAlign w:val="center"/>
          </w:tcPr>
          <w:p w14:paraId="487F9BCF" w14:textId="77777777" w:rsidR="007E1002" w:rsidRPr="007E1002" w:rsidRDefault="007E1002" w:rsidP="007E1002">
            <w:pPr>
              <w:jc w:val="left"/>
              <w:rPr>
                <w:rFonts w:ascii="Arial" w:hAnsi="Arial" w:cs="Arial"/>
                <w:sz w:val="20"/>
                <w:lang w:eastAsia="bg-BG"/>
              </w:rPr>
            </w:pPr>
          </w:p>
        </w:tc>
        <w:tc>
          <w:tcPr>
            <w:tcW w:w="957" w:type="pct"/>
            <w:tcBorders>
              <w:top w:val="nil"/>
              <w:left w:val="nil"/>
              <w:bottom w:val="single" w:sz="4" w:space="0" w:color="auto"/>
              <w:right w:val="single" w:sz="4" w:space="0" w:color="auto"/>
            </w:tcBorders>
            <w:shd w:val="clear" w:color="000000" w:fill="FFFFFF"/>
            <w:vAlign w:val="center"/>
          </w:tcPr>
          <w:p w14:paraId="62893A8D" w14:textId="0CC2D0AD" w:rsidR="007E1002" w:rsidRPr="007E1002" w:rsidRDefault="007E1002" w:rsidP="007E1002">
            <w:pPr>
              <w:jc w:val="right"/>
              <w:rPr>
                <w:rFonts w:ascii="Arial" w:hAnsi="Arial" w:cs="Arial"/>
                <w:sz w:val="20"/>
                <w:lang w:eastAsia="bg-BG"/>
              </w:rPr>
            </w:pPr>
            <w:r>
              <w:rPr>
                <w:rFonts w:ascii="Arial" w:hAnsi="Arial" w:cs="Arial"/>
                <w:sz w:val="20"/>
                <w:lang w:eastAsia="bg-BG"/>
              </w:rPr>
              <w:t xml:space="preserve">                                                                 1</w:t>
            </w:r>
          </w:p>
        </w:tc>
      </w:tr>
      <w:tr w:rsidR="00F422BC" w:rsidRPr="00B14C47" w14:paraId="10828017" w14:textId="77777777" w:rsidTr="00CA29CF">
        <w:trPr>
          <w:trHeight w:val="191"/>
        </w:trPr>
        <w:tc>
          <w:tcPr>
            <w:tcW w:w="1785" w:type="pct"/>
            <w:tcBorders>
              <w:top w:val="nil"/>
              <w:left w:val="single" w:sz="4" w:space="0" w:color="auto"/>
              <w:bottom w:val="single" w:sz="4" w:space="0" w:color="auto"/>
              <w:right w:val="nil"/>
            </w:tcBorders>
            <w:shd w:val="clear" w:color="auto" w:fill="auto"/>
            <w:noWrap/>
            <w:vAlign w:val="bottom"/>
            <w:hideMark/>
          </w:tcPr>
          <w:p w14:paraId="25A332F7" w14:textId="77777777" w:rsidR="00F422BC" w:rsidRPr="00B14C47" w:rsidRDefault="00F422BC" w:rsidP="0046182B">
            <w:pPr>
              <w:jc w:val="left"/>
              <w:rPr>
                <w:rFonts w:ascii="Arial" w:hAnsi="Arial" w:cs="Arial"/>
                <w:sz w:val="20"/>
                <w:lang w:eastAsia="bg-BG"/>
              </w:rPr>
            </w:pPr>
            <w:r w:rsidRPr="00B14C47">
              <w:rPr>
                <w:rFonts w:ascii="Arial" w:hAnsi="Arial" w:cs="Arial"/>
                <w:sz w:val="20"/>
                <w:lang w:eastAsia="bg-BG"/>
              </w:rPr>
              <w:t>Инфра Минералс ЕООД</w:t>
            </w:r>
          </w:p>
        </w:tc>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14:paraId="00E6F118" w14:textId="77777777" w:rsidR="00F422BC" w:rsidRPr="00B14C47" w:rsidRDefault="00F422BC" w:rsidP="0046182B">
            <w:pPr>
              <w:jc w:val="center"/>
              <w:rPr>
                <w:rFonts w:ascii="Arial" w:hAnsi="Arial" w:cs="Arial"/>
                <w:sz w:val="20"/>
                <w:lang w:eastAsia="bg-BG"/>
              </w:rPr>
            </w:pPr>
            <w:r w:rsidRPr="00B14C47">
              <w:rPr>
                <w:rFonts w:ascii="Arial" w:hAnsi="Arial" w:cs="Arial"/>
                <w:sz w:val="20"/>
                <w:lang w:eastAsia="bg-BG"/>
              </w:rPr>
              <w:t xml:space="preserve">                          2 </w:t>
            </w:r>
          </w:p>
        </w:tc>
        <w:tc>
          <w:tcPr>
            <w:tcW w:w="1084" w:type="pct"/>
            <w:tcBorders>
              <w:top w:val="nil"/>
              <w:left w:val="nil"/>
              <w:bottom w:val="single" w:sz="4" w:space="0" w:color="auto"/>
              <w:right w:val="single" w:sz="4" w:space="0" w:color="auto"/>
            </w:tcBorders>
            <w:shd w:val="clear" w:color="000000" w:fill="FFFFFF"/>
            <w:noWrap/>
            <w:vAlign w:val="bottom"/>
            <w:hideMark/>
          </w:tcPr>
          <w:p w14:paraId="36BBE482" w14:textId="77777777" w:rsidR="00F422BC" w:rsidRPr="00B14C47" w:rsidRDefault="00F422BC" w:rsidP="0046182B">
            <w:pPr>
              <w:jc w:val="center"/>
              <w:rPr>
                <w:rFonts w:ascii="Arial" w:hAnsi="Arial" w:cs="Arial"/>
                <w:i/>
                <w:iCs/>
                <w:sz w:val="20"/>
                <w:lang w:eastAsia="bg-BG"/>
              </w:rPr>
            </w:pPr>
            <w:r w:rsidRPr="00B14C47">
              <w:rPr>
                <w:rFonts w:ascii="Arial" w:hAnsi="Arial" w:cs="Arial"/>
                <w:i/>
                <w:iCs/>
                <w:sz w:val="20"/>
                <w:lang w:eastAsia="bg-BG"/>
              </w:rPr>
              <w:t> </w:t>
            </w:r>
          </w:p>
        </w:tc>
        <w:tc>
          <w:tcPr>
            <w:tcW w:w="957" w:type="pct"/>
            <w:tcBorders>
              <w:top w:val="nil"/>
              <w:left w:val="nil"/>
              <w:bottom w:val="single" w:sz="4" w:space="0" w:color="auto"/>
              <w:right w:val="single" w:sz="4" w:space="0" w:color="auto"/>
            </w:tcBorders>
            <w:shd w:val="clear" w:color="000000" w:fill="FFFFFF"/>
            <w:noWrap/>
            <w:vAlign w:val="bottom"/>
            <w:hideMark/>
          </w:tcPr>
          <w:p w14:paraId="613A314F" w14:textId="28CC290F" w:rsidR="00F422BC" w:rsidRPr="00B14C47" w:rsidRDefault="00F422BC" w:rsidP="0046182B">
            <w:pPr>
              <w:jc w:val="center"/>
              <w:rPr>
                <w:rFonts w:ascii="Arial" w:hAnsi="Arial" w:cs="Arial"/>
                <w:sz w:val="20"/>
                <w:lang w:eastAsia="bg-BG"/>
              </w:rPr>
            </w:pPr>
            <w:r w:rsidRPr="00B14C47">
              <w:rPr>
                <w:rFonts w:ascii="Arial" w:hAnsi="Arial" w:cs="Arial"/>
                <w:sz w:val="20"/>
                <w:lang w:eastAsia="bg-BG"/>
              </w:rPr>
              <w:t xml:space="preserve">                     </w:t>
            </w:r>
            <w:r w:rsidR="007E1002">
              <w:rPr>
                <w:rFonts w:ascii="Arial" w:hAnsi="Arial" w:cs="Arial"/>
                <w:sz w:val="20"/>
                <w:lang w:eastAsia="bg-BG"/>
              </w:rPr>
              <w:t xml:space="preserve">     </w:t>
            </w:r>
            <w:r w:rsidRPr="00B14C47">
              <w:rPr>
                <w:rFonts w:ascii="Arial" w:hAnsi="Arial" w:cs="Arial"/>
                <w:sz w:val="20"/>
                <w:lang w:eastAsia="bg-BG"/>
              </w:rPr>
              <w:t xml:space="preserve">2 </w:t>
            </w:r>
          </w:p>
        </w:tc>
      </w:tr>
      <w:tr w:rsidR="007E1002" w:rsidRPr="00B14C47" w14:paraId="137E65F6" w14:textId="77777777" w:rsidTr="00CA29CF">
        <w:trPr>
          <w:trHeight w:val="191"/>
        </w:trPr>
        <w:tc>
          <w:tcPr>
            <w:tcW w:w="1785" w:type="pct"/>
            <w:tcBorders>
              <w:top w:val="nil"/>
              <w:left w:val="single" w:sz="4" w:space="0" w:color="auto"/>
              <w:bottom w:val="single" w:sz="4" w:space="0" w:color="auto"/>
              <w:right w:val="nil"/>
            </w:tcBorders>
            <w:shd w:val="clear" w:color="auto" w:fill="auto"/>
            <w:noWrap/>
            <w:vAlign w:val="bottom"/>
          </w:tcPr>
          <w:p w14:paraId="5EEFA4F4" w14:textId="60CF833A" w:rsidR="007E1002" w:rsidRPr="00B14C47" w:rsidRDefault="007E1002" w:rsidP="0046182B">
            <w:pPr>
              <w:jc w:val="left"/>
              <w:rPr>
                <w:rFonts w:ascii="Arial" w:hAnsi="Arial" w:cs="Arial"/>
                <w:sz w:val="20"/>
                <w:lang w:eastAsia="bg-BG"/>
              </w:rPr>
            </w:pPr>
            <w:r>
              <w:rPr>
                <w:rFonts w:ascii="Arial" w:hAnsi="Arial" w:cs="Arial"/>
                <w:sz w:val="20"/>
                <w:lang w:eastAsia="bg-BG"/>
              </w:rPr>
              <w:t>Витех Строй ЕООД</w:t>
            </w:r>
          </w:p>
        </w:tc>
        <w:tc>
          <w:tcPr>
            <w:tcW w:w="1173" w:type="pct"/>
            <w:tcBorders>
              <w:top w:val="nil"/>
              <w:left w:val="single" w:sz="4" w:space="0" w:color="auto"/>
              <w:bottom w:val="single" w:sz="4" w:space="0" w:color="auto"/>
              <w:right w:val="single" w:sz="4" w:space="0" w:color="auto"/>
            </w:tcBorders>
            <w:shd w:val="clear" w:color="000000" w:fill="FFFFFF"/>
            <w:noWrap/>
            <w:vAlign w:val="bottom"/>
          </w:tcPr>
          <w:p w14:paraId="2A980812" w14:textId="186E75F5" w:rsidR="007E1002" w:rsidRPr="00B14C47" w:rsidRDefault="007E1002" w:rsidP="0046182B">
            <w:pPr>
              <w:jc w:val="center"/>
              <w:rPr>
                <w:rFonts w:ascii="Arial" w:hAnsi="Arial" w:cs="Arial"/>
                <w:sz w:val="20"/>
                <w:lang w:eastAsia="bg-BG"/>
              </w:rPr>
            </w:pPr>
            <w:r>
              <w:rPr>
                <w:rFonts w:ascii="Arial" w:hAnsi="Arial" w:cs="Arial"/>
                <w:sz w:val="20"/>
                <w:lang w:eastAsia="bg-BG"/>
              </w:rPr>
              <w:t xml:space="preserve">                          1</w:t>
            </w:r>
          </w:p>
        </w:tc>
        <w:tc>
          <w:tcPr>
            <w:tcW w:w="1084" w:type="pct"/>
            <w:tcBorders>
              <w:top w:val="nil"/>
              <w:left w:val="nil"/>
              <w:bottom w:val="single" w:sz="4" w:space="0" w:color="auto"/>
              <w:right w:val="single" w:sz="4" w:space="0" w:color="auto"/>
            </w:tcBorders>
            <w:shd w:val="clear" w:color="000000" w:fill="FFFFFF"/>
            <w:noWrap/>
            <w:vAlign w:val="bottom"/>
          </w:tcPr>
          <w:p w14:paraId="257A75CE" w14:textId="77777777" w:rsidR="007E1002" w:rsidRPr="00B14C47" w:rsidRDefault="007E1002" w:rsidP="0046182B">
            <w:pPr>
              <w:jc w:val="center"/>
              <w:rPr>
                <w:rFonts w:ascii="Arial" w:hAnsi="Arial" w:cs="Arial"/>
                <w:i/>
                <w:iCs/>
                <w:sz w:val="20"/>
                <w:lang w:eastAsia="bg-BG"/>
              </w:rPr>
            </w:pPr>
          </w:p>
        </w:tc>
        <w:tc>
          <w:tcPr>
            <w:tcW w:w="957" w:type="pct"/>
            <w:tcBorders>
              <w:top w:val="nil"/>
              <w:left w:val="nil"/>
              <w:bottom w:val="single" w:sz="4" w:space="0" w:color="auto"/>
              <w:right w:val="single" w:sz="4" w:space="0" w:color="auto"/>
            </w:tcBorders>
            <w:shd w:val="clear" w:color="000000" w:fill="FFFFFF"/>
            <w:noWrap/>
            <w:vAlign w:val="bottom"/>
          </w:tcPr>
          <w:p w14:paraId="66061C73" w14:textId="3B4FDE5F" w:rsidR="007E1002" w:rsidRPr="00B14C47" w:rsidRDefault="007E1002" w:rsidP="0046182B">
            <w:pPr>
              <w:jc w:val="center"/>
              <w:rPr>
                <w:rFonts w:ascii="Arial" w:hAnsi="Arial" w:cs="Arial"/>
                <w:sz w:val="20"/>
                <w:lang w:eastAsia="bg-BG"/>
              </w:rPr>
            </w:pPr>
            <w:r>
              <w:rPr>
                <w:rFonts w:ascii="Arial" w:hAnsi="Arial" w:cs="Arial"/>
                <w:sz w:val="20"/>
                <w:lang w:eastAsia="bg-BG"/>
              </w:rPr>
              <w:t xml:space="preserve">                           1</w:t>
            </w:r>
          </w:p>
        </w:tc>
      </w:tr>
      <w:tr w:rsidR="00F422BC" w:rsidRPr="00B14C47" w14:paraId="6402D29F" w14:textId="77777777" w:rsidTr="00CA29CF">
        <w:trPr>
          <w:trHeight w:val="191"/>
        </w:trPr>
        <w:tc>
          <w:tcPr>
            <w:tcW w:w="1785" w:type="pct"/>
            <w:tcBorders>
              <w:top w:val="nil"/>
              <w:left w:val="single" w:sz="4" w:space="0" w:color="auto"/>
              <w:bottom w:val="single" w:sz="4" w:space="0" w:color="auto"/>
              <w:right w:val="nil"/>
            </w:tcBorders>
            <w:shd w:val="clear" w:color="auto" w:fill="auto"/>
            <w:noWrap/>
            <w:vAlign w:val="bottom"/>
            <w:hideMark/>
          </w:tcPr>
          <w:p w14:paraId="7978A468" w14:textId="77777777" w:rsidR="00F422BC" w:rsidRPr="00B14C47" w:rsidRDefault="00F422BC" w:rsidP="0046182B">
            <w:pPr>
              <w:jc w:val="left"/>
              <w:rPr>
                <w:rFonts w:ascii="Arial" w:hAnsi="Arial" w:cs="Arial"/>
                <w:sz w:val="20"/>
                <w:lang w:eastAsia="bg-BG"/>
              </w:rPr>
            </w:pPr>
            <w:r w:rsidRPr="00B14C47">
              <w:rPr>
                <w:rFonts w:ascii="Arial" w:hAnsi="Arial" w:cs="Arial"/>
                <w:sz w:val="20"/>
                <w:lang w:eastAsia="bg-BG"/>
              </w:rPr>
              <w:t>Инфра Рейуелс ЕООД</w:t>
            </w:r>
          </w:p>
        </w:tc>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14:paraId="24481083" w14:textId="387F81BC" w:rsidR="00F422BC" w:rsidRPr="00B14C47" w:rsidRDefault="007E1002" w:rsidP="0046182B">
            <w:pPr>
              <w:jc w:val="center"/>
              <w:rPr>
                <w:rFonts w:ascii="Arial" w:hAnsi="Arial" w:cs="Arial"/>
                <w:sz w:val="20"/>
                <w:lang w:eastAsia="bg-BG"/>
              </w:rPr>
            </w:pPr>
            <w:r>
              <w:rPr>
                <w:rFonts w:ascii="Arial" w:hAnsi="Arial" w:cs="Arial"/>
                <w:sz w:val="20"/>
                <w:lang w:eastAsia="bg-BG"/>
              </w:rPr>
              <w:t xml:space="preserve">                          2</w:t>
            </w:r>
            <w:r w:rsidR="00F422BC" w:rsidRPr="00B14C47">
              <w:rPr>
                <w:rFonts w:ascii="Arial" w:hAnsi="Arial" w:cs="Arial"/>
                <w:sz w:val="20"/>
                <w:lang w:eastAsia="bg-BG"/>
              </w:rPr>
              <w:t xml:space="preserve"> </w:t>
            </w:r>
          </w:p>
        </w:tc>
        <w:tc>
          <w:tcPr>
            <w:tcW w:w="1084" w:type="pct"/>
            <w:tcBorders>
              <w:top w:val="nil"/>
              <w:left w:val="nil"/>
              <w:bottom w:val="single" w:sz="4" w:space="0" w:color="auto"/>
              <w:right w:val="single" w:sz="4" w:space="0" w:color="auto"/>
            </w:tcBorders>
            <w:shd w:val="clear" w:color="000000" w:fill="FFFFFF"/>
            <w:noWrap/>
            <w:vAlign w:val="bottom"/>
            <w:hideMark/>
          </w:tcPr>
          <w:p w14:paraId="7BAE2643" w14:textId="77777777" w:rsidR="00F422BC" w:rsidRPr="00B14C47" w:rsidRDefault="00F422BC" w:rsidP="0046182B">
            <w:pPr>
              <w:jc w:val="center"/>
              <w:rPr>
                <w:rFonts w:ascii="Arial" w:hAnsi="Arial" w:cs="Arial"/>
                <w:i/>
                <w:iCs/>
                <w:sz w:val="20"/>
                <w:lang w:eastAsia="bg-BG"/>
              </w:rPr>
            </w:pPr>
            <w:r w:rsidRPr="00B14C47">
              <w:rPr>
                <w:rFonts w:ascii="Arial" w:hAnsi="Arial" w:cs="Arial"/>
                <w:i/>
                <w:iCs/>
                <w:sz w:val="20"/>
                <w:lang w:eastAsia="bg-BG"/>
              </w:rPr>
              <w:t> </w:t>
            </w:r>
          </w:p>
        </w:tc>
        <w:tc>
          <w:tcPr>
            <w:tcW w:w="957" w:type="pct"/>
            <w:tcBorders>
              <w:top w:val="nil"/>
              <w:left w:val="nil"/>
              <w:bottom w:val="single" w:sz="4" w:space="0" w:color="auto"/>
              <w:right w:val="single" w:sz="4" w:space="0" w:color="auto"/>
            </w:tcBorders>
            <w:shd w:val="clear" w:color="000000" w:fill="FFFFFF"/>
            <w:noWrap/>
            <w:vAlign w:val="bottom"/>
            <w:hideMark/>
          </w:tcPr>
          <w:p w14:paraId="62FECCC7" w14:textId="0212A5A7" w:rsidR="00F422BC" w:rsidRPr="00B14C47" w:rsidRDefault="007E1002" w:rsidP="0046182B">
            <w:pPr>
              <w:jc w:val="center"/>
              <w:rPr>
                <w:rFonts w:ascii="Arial" w:hAnsi="Arial" w:cs="Arial"/>
                <w:sz w:val="20"/>
                <w:lang w:eastAsia="bg-BG"/>
              </w:rPr>
            </w:pPr>
            <w:r>
              <w:rPr>
                <w:rFonts w:ascii="Arial" w:hAnsi="Arial" w:cs="Arial"/>
                <w:sz w:val="20"/>
                <w:lang w:eastAsia="bg-BG"/>
              </w:rPr>
              <w:t xml:space="preserve">                           2</w:t>
            </w:r>
            <w:r w:rsidR="00F422BC" w:rsidRPr="00B14C47">
              <w:rPr>
                <w:rFonts w:ascii="Arial" w:hAnsi="Arial" w:cs="Arial"/>
                <w:sz w:val="20"/>
                <w:lang w:eastAsia="bg-BG"/>
              </w:rPr>
              <w:t xml:space="preserve"> </w:t>
            </w:r>
          </w:p>
        </w:tc>
      </w:tr>
      <w:tr w:rsidR="007E1002" w:rsidRPr="00B14C47" w14:paraId="4D7C71D3" w14:textId="77777777" w:rsidTr="00CA29CF">
        <w:trPr>
          <w:trHeight w:val="191"/>
        </w:trPr>
        <w:tc>
          <w:tcPr>
            <w:tcW w:w="1785" w:type="pct"/>
            <w:tcBorders>
              <w:top w:val="nil"/>
              <w:left w:val="single" w:sz="4" w:space="0" w:color="auto"/>
              <w:bottom w:val="single" w:sz="4" w:space="0" w:color="auto"/>
              <w:right w:val="nil"/>
            </w:tcBorders>
            <w:shd w:val="clear" w:color="auto" w:fill="auto"/>
            <w:noWrap/>
            <w:vAlign w:val="bottom"/>
          </w:tcPr>
          <w:p w14:paraId="779A381B" w14:textId="6C1705C6" w:rsidR="007E1002" w:rsidRPr="00B14C47" w:rsidRDefault="007E1002" w:rsidP="0046182B">
            <w:pPr>
              <w:jc w:val="left"/>
              <w:rPr>
                <w:rFonts w:ascii="Arial" w:hAnsi="Arial" w:cs="Arial"/>
                <w:sz w:val="20"/>
                <w:lang w:eastAsia="bg-BG"/>
              </w:rPr>
            </w:pPr>
            <w:r>
              <w:rPr>
                <w:rFonts w:ascii="Arial" w:hAnsi="Arial" w:cs="Arial"/>
                <w:sz w:val="20"/>
                <w:lang w:eastAsia="bg-BG"/>
              </w:rPr>
              <w:t>Инфра Актив ЕООД</w:t>
            </w:r>
          </w:p>
        </w:tc>
        <w:tc>
          <w:tcPr>
            <w:tcW w:w="1173" w:type="pct"/>
            <w:tcBorders>
              <w:top w:val="nil"/>
              <w:left w:val="single" w:sz="4" w:space="0" w:color="auto"/>
              <w:bottom w:val="single" w:sz="4" w:space="0" w:color="auto"/>
              <w:right w:val="single" w:sz="4" w:space="0" w:color="auto"/>
            </w:tcBorders>
            <w:shd w:val="clear" w:color="000000" w:fill="FFFFFF"/>
            <w:noWrap/>
            <w:vAlign w:val="bottom"/>
          </w:tcPr>
          <w:p w14:paraId="72674C7B" w14:textId="660F5C68" w:rsidR="007E1002" w:rsidRDefault="007E1002" w:rsidP="0046182B">
            <w:pPr>
              <w:jc w:val="center"/>
              <w:rPr>
                <w:rFonts w:ascii="Arial" w:hAnsi="Arial" w:cs="Arial"/>
                <w:sz w:val="20"/>
                <w:lang w:eastAsia="bg-BG"/>
              </w:rPr>
            </w:pPr>
            <w:r>
              <w:rPr>
                <w:rFonts w:ascii="Arial" w:hAnsi="Arial" w:cs="Arial"/>
                <w:sz w:val="20"/>
                <w:lang w:eastAsia="bg-BG"/>
              </w:rPr>
              <w:t xml:space="preserve">                          1</w:t>
            </w:r>
          </w:p>
        </w:tc>
        <w:tc>
          <w:tcPr>
            <w:tcW w:w="1084" w:type="pct"/>
            <w:tcBorders>
              <w:top w:val="nil"/>
              <w:left w:val="nil"/>
              <w:bottom w:val="single" w:sz="4" w:space="0" w:color="auto"/>
              <w:right w:val="single" w:sz="4" w:space="0" w:color="auto"/>
            </w:tcBorders>
            <w:shd w:val="clear" w:color="000000" w:fill="FFFFFF"/>
            <w:noWrap/>
            <w:vAlign w:val="bottom"/>
          </w:tcPr>
          <w:p w14:paraId="7FEE0171" w14:textId="77777777" w:rsidR="007E1002" w:rsidRPr="00B14C47" w:rsidRDefault="007E1002" w:rsidP="0046182B">
            <w:pPr>
              <w:jc w:val="center"/>
              <w:rPr>
                <w:rFonts w:ascii="Arial" w:hAnsi="Arial" w:cs="Arial"/>
                <w:i/>
                <w:iCs/>
                <w:sz w:val="20"/>
                <w:lang w:eastAsia="bg-BG"/>
              </w:rPr>
            </w:pPr>
          </w:p>
        </w:tc>
        <w:tc>
          <w:tcPr>
            <w:tcW w:w="957" w:type="pct"/>
            <w:tcBorders>
              <w:top w:val="nil"/>
              <w:left w:val="nil"/>
              <w:bottom w:val="single" w:sz="4" w:space="0" w:color="auto"/>
              <w:right w:val="single" w:sz="4" w:space="0" w:color="auto"/>
            </w:tcBorders>
            <w:shd w:val="clear" w:color="000000" w:fill="FFFFFF"/>
            <w:noWrap/>
            <w:vAlign w:val="bottom"/>
          </w:tcPr>
          <w:p w14:paraId="68BA4881" w14:textId="15C8823F" w:rsidR="007E1002" w:rsidRDefault="007E1002" w:rsidP="0046182B">
            <w:pPr>
              <w:jc w:val="center"/>
              <w:rPr>
                <w:rFonts w:ascii="Arial" w:hAnsi="Arial" w:cs="Arial"/>
                <w:sz w:val="20"/>
                <w:lang w:eastAsia="bg-BG"/>
              </w:rPr>
            </w:pPr>
            <w:r>
              <w:rPr>
                <w:rFonts w:ascii="Arial" w:hAnsi="Arial" w:cs="Arial"/>
                <w:sz w:val="20"/>
                <w:lang w:eastAsia="bg-BG"/>
              </w:rPr>
              <w:t xml:space="preserve">                          1</w:t>
            </w:r>
          </w:p>
        </w:tc>
      </w:tr>
      <w:tr w:rsidR="00F422BC" w:rsidRPr="00B14C47" w14:paraId="3FF0CB62" w14:textId="77777777" w:rsidTr="00CA29CF">
        <w:trPr>
          <w:trHeight w:val="191"/>
        </w:trPr>
        <w:tc>
          <w:tcPr>
            <w:tcW w:w="1785" w:type="pct"/>
            <w:tcBorders>
              <w:top w:val="nil"/>
              <w:left w:val="single" w:sz="4" w:space="0" w:color="auto"/>
              <w:bottom w:val="single" w:sz="4" w:space="0" w:color="auto"/>
              <w:right w:val="single" w:sz="4" w:space="0" w:color="auto"/>
            </w:tcBorders>
            <w:shd w:val="clear" w:color="000000" w:fill="00AEEF"/>
            <w:vAlign w:val="bottom"/>
            <w:hideMark/>
          </w:tcPr>
          <w:p w14:paraId="5B56FFEB" w14:textId="77777777" w:rsidR="00F422BC" w:rsidRPr="00B14C47" w:rsidRDefault="00F422BC" w:rsidP="0046182B">
            <w:pPr>
              <w:jc w:val="left"/>
              <w:rPr>
                <w:rFonts w:ascii="Arial" w:hAnsi="Arial" w:cs="Arial"/>
                <w:b/>
                <w:bCs/>
                <w:sz w:val="20"/>
                <w:lang w:eastAsia="bg-BG"/>
              </w:rPr>
            </w:pPr>
            <w:r w:rsidRPr="00B14C47">
              <w:rPr>
                <w:rFonts w:ascii="Arial" w:hAnsi="Arial" w:cs="Arial"/>
                <w:b/>
                <w:bCs/>
                <w:sz w:val="20"/>
                <w:lang w:eastAsia="bg-BG"/>
              </w:rPr>
              <w:lastRenderedPageBreak/>
              <w:t>Общо</w:t>
            </w:r>
          </w:p>
        </w:tc>
        <w:tc>
          <w:tcPr>
            <w:tcW w:w="1173" w:type="pct"/>
            <w:tcBorders>
              <w:top w:val="nil"/>
              <w:left w:val="nil"/>
              <w:bottom w:val="single" w:sz="4" w:space="0" w:color="auto"/>
              <w:right w:val="single" w:sz="4" w:space="0" w:color="auto"/>
            </w:tcBorders>
            <w:shd w:val="clear" w:color="000000" w:fill="00AEEF"/>
            <w:noWrap/>
            <w:vAlign w:val="bottom"/>
            <w:hideMark/>
          </w:tcPr>
          <w:p w14:paraId="33A4B243" w14:textId="43B7E32A" w:rsidR="00F422BC" w:rsidRPr="00B14C47" w:rsidRDefault="007E1002" w:rsidP="0046182B">
            <w:pPr>
              <w:jc w:val="center"/>
              <w:rPr>
                <w:rFonts w:ascii="Arial" w:hAnsi="Arial" w:cs="Arial"/>
                <w:b/>
                <w:bCs/>
                <w:sz w:val="20"/>
                <w:lang w:eastAsia="bg-BG"/>
              </w:rPr>
            </w:pPr>
            <w:r>
              <w:rPr>
                <w:rFonts w:ascii="Arial" w:hAnsi="Arial" w:cs="Arial"/>
                <w:b/>
                <w:bCs/>
                <w:sz w:val="20"/>
                <w:lang w:eastAsia="bg-BG"/>
              </w:rPr>
              <w:t xml:space="preserve">                          7</w:t>
            </w:r>
            <w:r w:rsidR="00F422BC" w:rsidRPr="00B14C47">
              <w:rPr>
                <w:rFonts w:ascii="Arial" w:hAnsi="Arial" w:cs="Arial"/>
                <w:b/>
                <w:bCs/>
                <w:sz w:val="20"/>
                <w:lang w:eastAsia="bg-BG"/>
              </w:rPr>
              <w:t xml:space="preserve"> </w:t>
            </w:r>
          </w:p>
        </w:tc>
        <w:tc>
          <w:tcPr>
            <w:tcW w:w="1084" w:type="pct"/>
            <w:tcBorders>
              <w:top w:val="nil"/>
              <w:left w:val="nil"/>
              <w:bottom w:val="single" w:sz="4" w:space="0" w:color="auto"/>
              <w:right w:val="single" w:sz="4" w:space="0" w:color="auto"/>
            </w:tcBorders>
            <w:shd w:val="clear" w:color="000000" w:fill="00AEEF"/>
            <w:noWrap/>
            <w:vAlign w:val="bottom"/>
            <w:hideMark/>
          </w:tcPr>
          <w:p w14:paraId="505790A7" w14:textId="77777777" w:rsidR="00F422BC" w:rsidRPr="00B14C47" w:rsidRDefault="00F422BC" w:rsidP="0046182B">
            <w:pPr>
              <w:jc w:val="center"/>
              <w:rPr>
                <w:rFonts w:ascii="Arial" w:hAnsi="Arial" w:cs="Arial"/>
                <w:b/>
                <w:bCs/>
                <w:i/>
                <w:iCs/>
                <w:sz w:val="20"/>
                <w:lang w:eastAsia="bg-BG"/>
              </w:rPr>
            </w:pPr>
            <w:r w:rsidRPr="00B14C47">
              <w:rPr>
                <w:rFonts w:ascii="Arial" w:hAnsi="Arial" w:cs="Arial"/>
                <w:b/>
                <w:bCs/>
                <w:i/>
                <w:iCs/>
                <w:sz w:val="20"/>
                <w:lang w:eastAsia="bg-BG"/>
              </w:rPr>
              <w:t xml:space="preserve">                      -   </w:t>
            </w:r>
          </w:p>
        </w:tc>
        <w:tc>
          <w:tcPr>
            <w:tcW w:w="957" w:type="pct"/>
            <w:tcBorders>
              <w:top w:val="nil"/>
              <w:left w:val="nil"/>
              <w:bottom w:val="single" w:sz="4" w:space="0" w:color="auto"/>
              <w:right w:val="single" w:sz="4" w:space="0" w:color="auto"/>
            </w:tcBorders>
            <w:shd w:val="clear" w:color="000000" w:fill="00AEEF"/>
            <w:noWrap/>
            <w:vAlign w:val="bottom"/>
            <w:hideMark/>
          </w:tcPr>
          <w:p w14:paraId="4A55281D" w14:textId="084776F0" w:rsidR="00F422BC" w:rsidRPr="00B14C47" w:rsidRDefault="007E1002" w:rsidP="0046182B">
            <w:pPr>
              <w:jc w:val="center"/>
              <w:rPr>
                <w:rFonts w:ascii="Arial" w:hAnsi="Arial" w:cs="Arial"/>
                <w:b/>
                <w:bCs/>
                <w:sz w:val="20"/>
                <w:lang w:eastAsia="bg-BG"/>
              </w:rPr>
            </w:pPr>
            <w:r>
              <w:rPr>
                <w:rFonts w:ascii="Arial" w:hAnsi="Arial" w:cs="Arial"/>
                <w:b/>
                <w:bCs/>
                <w:sz w:val="20"/>
                <w:lang w:eastAsia="bg-BG"/>
              </w:rPr>
              <w:t xml:space="preserve">                          7</w:t>
            </w:r>
          </w:p>
        </w:tc>
      </w:tr>
    </w:tbl>
    <w:p w14:paraId="5CF06F44" w14:textId="1EFD4193" w:rsidR="00F422BC" w:rsidRDefault="00F422BC" w:rsidP="00FB735B">
      <w:pPr>
        <w:pStyle w:val="000Normal"/>
        <w:rPr>
          <w:rFonts w:ascii="Arial" w:hAnsi="Arial" w:cs="Arial"/>
          <w:b/>
          <w:sz w:val="16"/>
          <w:szCs w:val="16"/>
        </w:rPr>
      </w:pPr>
    </w:p>
    <w:p w14:paraId="4FE4AC88" w14:textId="77777777" w:rsidR="007E1002" w:rsidRDefault="007E1002" w:rsidP="00FB735B">
      <w:pPr>
        <w:pStyle w:val="000Normal"/>
        <w:rPr>
          <w:rFonts w:ascii="Arial" w:hAnsi="Arial" w:cs="Arial"/>
          <w:b/>
          <w:sz w:val="16"/>
          <w:szCs w:val="16"/>
        </w:rPr>
      </w:pPr>
    </w:p>
    <w:tbl>
      <w:tblPr>
        <w:tblW w:w="10140" w:type="dxa"/>
        <w:tblInd w:w="65" w:type="dxa"/>
        <w:tblCellMar>
          <w:left w:w="70" w:type="dxa"/>
          <w:right w:w="70" w:type="dxa"/>
        </w:tblCellMar>
        <w:tblLook w:val="04A0" w:firstRow="1" w:lastRow="0" w:firstColumn="1" w:lastColumn="0" w:noHBand="0" w:noVBand="1"/>
      </w:tblPr>
      <w:tblGrid>
        <w:gridCol w:w="3753"/>
        <w:gridCol w:w="1174"/>
        <w:gridCol w:w="951"/>
        <w:gridCol w:w="1663"/>
        <w:gridCol w:w="2599"/>
      </w:tblGrid>
      <w:tr w:rsidR="007E1002" w:rsidRPr="007E1002" w14:paraId="5B03D16C" w14:textId="77777777" w:rsidTr="007E1002">
        <w:trPr>
          <w:trHeight w:val="255"/>
        </w:trPr>
        <w:tc>
          <w:tcPr>
            <w:tcW w:w="101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B54424" w14:textId="77777777" w:rsidR="007E1002" w:rsidRPr="007E1002" w:rsidRDefault="007E1002" w:rsidP="007E1002">
            <w:pPr>
              <w:jc w:val="left"/>
              <w:rPr>
                <w:rFonts w:ascii="Arial" w:hAnsi="Arial" w:cs="Arial"/>
                <w:b/>
                <w:bCs/>
                <w:sz w:val="20"/>
                <w:lang w:eastAsia="bg-BG"/>
              </w:rPr>
            </w:pPr>
            <w:r w:rsidRPr="007E1002">
              <w:rPr>
                <w:rFonts w:ascii="Arial" w:hAnsi="Arial" w:cs="Arial"/>
                <w:b/>
                <w:bCs/>
                <w:sz w:val="20"/>
                <w:lang w:eastAsia="bg-BG"/>
              </w:rPr>
              <w:t>Заеми, предоставени на свързани лица в групата - данни</w:t>
            </w:r>
          </w:p>
        </w:tc>
      </w:tr>
      <w:tr w:rsidR="007E1002" w:rsidRPr="007E1002" w14:paraId="41B6960B" w14:textId="77777777" w:rsidTr="007E1002">
        <w:trPr>
          <w:trHeight w:val="510"/>
        </w:trPr>
        <w:tc>
          <w:tcPr>
            <w:tcW w:w="3753" w:type="dxa"/>
            <w:tcBorders>
              <w:top w:val="nil"/>
              <w:left w:val="single" w:sz="4" w:space="0" w:color="auto"/>
              <w:bottom w:val="single" w:sz="4" w:space="0" w:color="auto"/>
              <w:right w:val="nil"/>
            </w:tcBorders>
            <w:shd w:val="clear" w:color="000000" w:fill="FFFFFF"/>
            <w:noWrap/>
            <w:vAlign w:val="bottom"/>
            <w:hideMark/>
          </w:tcPr>
          <w:p w14:paraId="3C860CDA" w14:textId="77777777" w:rsidR="007E1002" w:rsidRPr="007E1002" w:rsidRDefault="007E1002" w:rsidP="007E1002">
            <w:pPr>
              <w:jc w:val="left"/>
              <w:rPr>
                <w:rFonts w:ascii="Arial" w:hAnsi="Arial" w:cs="Arial"/>
                <w:b/>
                <w:bCs/>
                <w:sz w:val="20"/>
                <w:lang w:eastAsia="bg-BG"/>
              </w:rPr>
            </w:pPr>
            <w:r w:rsidRPr="007E1002">
              <w:rPr>
                <w:rFonts w:ascii="Arial" w:hAnsi="Arial" w:cs="Arial"/>
                <w:b/>
                <w:bCs/>
                <w:sz w:val="20"/>
                <w:lang w:eastAsia="bg-BG"/>
              </w:rPr>
              <w:t>Кредитополучател</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14:paraId="7DA7E141" w14:textId="77777777" w:rsidR="007E1002" w:rsidRPr="007E1002" w:rsidRDefault="007E1002" w:rsidP="007E1002">
            <w:pPr>
              <w:jc w:val="left"/>
              <w:rPr>
                <w:rFonts w:ascii="Arial" w:hAnsi="Arial" w:cs="Arial"/>
                <w:b/>
                <w:bCs/>
                <w:sz w:val="20"/>
                <w:lang w:eastAsia="bg-BG"/>
              </w:rPr>
            </w:pPr>
            <w:r w:rsidRPr="007E1002">
              <w:rPr>
                <w:rFonts w:ascii="Arial" w:hAnsi="Arial" w:cs="Arial"/>
                <w:b/>
                <w:bCs/>
                <w:sz w:val="20"/>
                <w:lang w:eastAsia="bg-BG"/>
              </w:rPr>
              <w:t>Валута</w:t>
            </w:r>
          </w:p>
        </w:tc>
        <w:tc>
          <w:tcPr>
            <w:tcW w:w="951" w:type="dxa"/>
            <w:tcBorders>
              <w:top w:val="nil"/>
              <w:left w:val="nil"/>
              <w:bottom w:val="single" w:sz="4" w:space="0" w:color="auto"/>
              <w:right w:val="single" w:sz="4" w:space="0" w:color="auto"/>
            </w:tcBorders>
            <w:shd w:val="clear" w:color="000000" w:fill="FFFFFF"/>
            <w:noWrap/>
            <w:vAlign w:val="bottom"/>
            <w:hideMark/>
          </w:tcPr>
          <w:p w14:paraId="2C79878E" w14:textId="77777777" w:rsidR="007E1002" w:rsidRPr="007E1002" w:rsidRDefault="007E1002" w:rsidP="007E1002">
            <w:pPr>
              <w:jc w:val="left"/>
              <w:rPr>
                <w:rFonts w:ascii="Arial" w:hAnsi="Arial" w:cs="Arial"/>
                <w:b/>
                <w:bCs/>
                <w:sz w:val="20"/>
                <w:lang w:eastAsia="bg-BG"/>
              </w:rPr>
            </w:pPr>
            <w:r w:rsidRPr="007E1002">
              <w:rPr>
                <w:rFonts w:ascii="Arial" w:hAnsi="Arial" w:cs="Arial"/>
                <w:b/>
                <w:bCs/>
                <w:sz w:val="20"/>
                <w:lang w:eastAsia="bg-BG"/>
              </w:rPr>
              <w:t>Л. %</w:t>
            </w:r>
          </w:p>
        </w:tc>
        <w:tc>
          <w:tcPr>
            <w:tcW w:w="1663" w:type="dxa"/>
            <w:tcBorders>
              <w:top w:val="nil"/>
              <w:left w:val="nil"/>
              <w:bottom w:val="single" w:sz="4" w:space="0" w:color="auto"/>
              <w:right w:val="single" w:sz="4" w:space="0" w:color="auto"/>
            </w:tcBorders>
            <w:shd w:val="clear" w:color="000000" w:fill="FFFFFF"/>
            <w:noWrap/>
            <w:vAlign w:val="bottom"/>
            <w:hideMark/>
          </w:tcPr>
          <w:p w14:paraId="4D521FB0" w14:textId="77777777" w:rsidR="007E1002" w:rsidRPr="007E1002" w:rsidRDefault="007E1002" w:rsidP="007E1002">
            <w:pPr>
              <w:jc w:val="left"/>
              <w:rPr>
                <w:rFonts w:ascii="Arial" w:hAnsi="Arial" w:cs="Arial"/>
                <w:b/>
                <w:bCs/>
                <w:sz w:val="20"/>
                <w:lang w:eastAsia="bg-BG"/>
              </w:rPr>
            </w:pPr>
            <w:r w:rsidRPr="007E1002">
              <w:rPr>
                <w:rFonts w:ascii="Arial" w:hAnsi="Arial" w:cs="Arial"/>
                <w:b/>
                <w:bCs/>
                <w:sz w:val="20"/>
                <w:lang w:eastAsia="bg-BG"/>
              </w:rPr>
              <w:t>Падеж</w:t>
            </w:r>
          </w:p>
        </w:tc>
        <w:tc>
          <w:tcPr>
            <w:tcW w:w="2599" w:type="dxa"/>
            <w:tcBorders>
              <w:top w:val="nil"/>
              <w:left w:val="nil"/>
              <w:bottom w:val="single" w:sz="4" w:space="0" w:color="auto"/>
              <w:right w:val="single" w:sz="4" w:space="0" w:color="auto"/>
            </w:tcBorders>
            <w:shd w:val="clear" w:color="000000" w:fill="FFFFFF"/>
            <w:vAlign w:val="bottom"/>
            <w:hideMark/>
          </w:tcPr>
          <w:p w14:paraId="62967941" w14:textId="77777777" w:rsidR="007E1002" w:rsidRPr="007E1002" w:rsidRDefault="007E1002" w:rsidP="007E1002">
            <w:pPr>
              <w:rPr>
                <w:rFonts w:ascii="Arial" w:hAnsi="Arial" w:cs="Arial"/>
                <w:b/>
                <w:bCs/>
                <w:sz w:val="20"/>
                <w:lang w:eastAsia="bg-BG"/>
              </w:rPr>
            </w:pPr>
            <w:r w:rsidRPr="007E1002">
              <w:rPr>
                <w:rFonts w:ascii="Arial" w:hAnsi="Arial" w:cs="Arial"/>
                <w:b/>
                <w:bCs/>
                <w:sz w:val="20"/>
                <w:lang w:eastAsia="bg-BG"/>
              </w:rPr>
              <w:t>Обезпечения</w:t>
            </w:r>
            <w:r w:rsidRPr="007E1002">
              <w:rPr>
                <w:rFonts w:ascii="Arial" w:hAnsi="Arial" w:cs="Arial"/>
                <w:b/>
                <w:bCs/>
                <w:sz w:val="20"/>
                <w:lang w:eastAsia="bg-BG"/>
              </w:rPr>
              <w:br/>
              <w:t>Гаранции</w:t>
            </w:r>
          </w:p>
        </w:tc>
      </w:tr>
      <w:tr w:rsidR="007E1002" w:rsidRPr="007E1002" w14:paraId="5B691358" w14:textId="77777777" w:rsidTr="007E1002">
        <w:trPr>
          <w:trHeight w:val="255"/>
        </w:trPr>
        <w:tc>
          <w:tcPr>
            <w:tcW w:w="3753" w:type="dxa"/>
            <w:tcBorders>
              <w:top w:val="nil"/>
              <w:left w:val="single" w:sz="4" w:space="0" w:color="auto"/>
              <w:bottom w:val="single" w:sz="4" w:space="0" w:color="auto"/>
              <w:right w:val="nil"/>
            </w:tcBorders>
            <w:shd w:val="clear" w:color="auto" w:fill="auto"/>
            <w:noWrap/>
            <w:vAlign w:val="bottom"/>
            <w:hideMark/>
          </w:tcPr>
          <w:p w14:paraId="14A6FF43"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Инфра Билдинг ЕООД</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14:paraId="659B69F4"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лв</w:t>
            </w:r>
          </w:p>
        </w:tc>
        <w:tc>
          <w:tcPr>
            <w:tcW w:w="951" w:type="dxa"/>
            <w:tcBorders>
              <w:top w:val="nil"/>
              <w:left w:val="nil"/>
              <w:bottom w:val="single" w:sz="4" w:space="0" w:color="auto"/>
              <w:right w:val="single" w:sz="4" w:space="0" w:color="auto"/>
            </w:tcBorders>
            <w:shd w:val="clear" w:color="000000" w:fill="FFFFFF"/>
            <w:noWrap/>
            <w:vAlign w:val="bottom"/>
            <w:hideMark/>
          </w:tcPr>
          <w:p w14:paraId="163CB3D3"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4,00%</w:t>
            </w:r>
          </w:p>
        </w:tc>
        <w:tc>
          <w:tcPr>
            <w:tcW w:w="1663" w:type="dxa"/>
            <w:tcBorders>
              <w:top w:val="nil"/>
              <w:left w:val="nil"/>
              <w:bottom w:val="single" w:sz="4" w:space="0" w:color="auto"/>
              <w:right w:val="single" w:sz="4" w:space="0" w:color="auto"/>
            </w:tcBorders>
            <w:shd w:val="clear" w:color="000000" w:fill="FFFFFF"/>
            <w:noWrap/>
            <w:vAlign w:val="bottom"/>
            <w:hideMark/>
          </w:tcPr>
          <w:p w14:paraId="31CB54A2"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31.12.2025</w:t>
            </w:r>
          </w:p>
        </w:tc>
        <w:tc>
          <w:tcPr>
            <w:tcW w:w="2599" w:type="dxa"/>
            <w:tcBorders>
              <w:top w:val="nil"/>
              <w:left w:val="nil"/>
              <w:bottom w:val="single" w:sz="4" w:space="0" w:color="auto"/>
              <w:right w:val="single" w:sz="4" w:space="0" w:color="auto"/>
            </w:tcBorders>
            <w:shd w:val="clear" w:color="000000" w:fill="FFFFFF"/>
            <w:noWrap/>
            <w:vAlign w:val="bottom"/>
            <w:hideMark/>
          </w:tcPr>
          <w:p w14:paraId="607AA06B"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няма</w:t>
            </w:r>
          </w:p>
        </w:tc>
      </w:tr>
      <w:tr w:rsidR="007E1002" w:rsidRPr="007E1002" w14:paraId="17D4CE50" w14:textId="77777777" w:rsidTr="007E1002">
        <w:trPr>
          <w:trHeight w:val="255"/>
        </w:trPr>
        <w:tc>
          <w:tcPr>
            <w:tcW w:w="3753" w:type="dxa"/>
            <w:tcBorders>
              <w:top w:val="nil"/>
              <w:left w:val="single" w:sz="4" w:space="0" w:color="auto"/>
              <w:bottom w:val="single" w:sz="4" w:space="0" w:color="auto"/>
              <w:right w:val="nil"/>
            </w:tcBorders>
            <w:shd w:val="clear" w:color="auto" w:fill="auto"/>
            <w:noWrap/>
            <w:vAlign w:val="bottom"/>
            <w:hideMark/>
          </w:tcPr>
          <w:p w14:paraId="6917F514"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Инфра Минералс ЕООД</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14:paraId="5721DF80"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лв</w:t>
            </w:r>
          </w:p>
        </w:tc>
        <w:tc>
          <w:tcPr>
            <w:tcW w:w="951" w:type="dxa"/>
            <w:tcBorders>
              <w:top w:val="nil"/>
              <w:left w:val="nil"/>
              <w:bottom w:val="single" w:sz="4" w:space="0" w:color="auto"/>
              <w:right w:val="single" w:sz="4" w:space="0" w:color="auto"/>
            </w:tcBorders>
            <w:shd w:val="clear" w:color="000000" w:fill="FFFFFF"/>
            <w:noWrap/>
            <w:vAlign w:val="bottom"/>
            <w:hideMark/>
          </w:tcPr>
          <w:p w14:paraId="4988062B"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4,00%</w:t>
            </w:r>
          </w:p>
        </w:tc>
        <w:tc>
          <w:tcPr>
            <w:tcW w:w="1663" w:type="dxa"/>
            <w:tcBorders>
              <w:top w:val="nil"/>
              <w:left w:val="nil"/>
              <w:bottom w:val="single" w:sz="4" w:space="0" w:color="auto"/>
              <w:right w:val="single" w:sz="4" w:space="0" w:color="auto"/>
            </w:tcBorders>
            <w:shd w:val="clear" w:color="000000" w:fill="FFFFFF"/>
            <w:noWrap/>
            <w:vAlign w:val="bottom"/>
            <w:hideMark/>
          </w:tcPr>
          <w:p w14:paraId="02618334"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31.12.2022</w:t>
            </w:r>
          </w:p>
        </w:tc>
        <w:tc>
          <w:tcPr>
            <w:tcW w:w="2599" w:type="dxa"/>
            <w:tcBorders>
              <w:top w:val="nil"/>
              <w:left w:val="nil"/>
              <w:bottom w:val="single" w:sz="4" w:space="0" w:color="auto"/>
              <w:right w:val="single" w:sz="4" w:space="0" w:color="auto"/>
            </w:tcBorders>
            <w:shd w:val="clear" w:color="000000" w:fill="FFFFFF"/>
            <w:noWrap/>
            <w:vAlign w:val="bottom"/>
            <w:hideMark/>
          </w:tcPr>
          <w:p w14:paraId="71F324B9"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няма</w:t>
            </w:r>
          </w:p>
        </w:tc>
      </w:tr>
      <w:tr w:rsidR="007E1002" w:rsidRPr="007E1002" w14:paraId="61A8A5A1" w14:textId="77777777" w:rsidTr="007E1002">
        <w:trPr>
          <w:trHeight w:val="255"/>
        </w:trPr>
        <w:tc>
          <w:tcPr>
            <w:tcW w:w="3753" w:type="dxa"/>
            <w:tcBorders>
              <w:top w:val="nil"/>
              <w:left w:val="single" w:sz="4" w:space="0" w:color="auto"/>
              <w:bottom w:val="single" w:sz="4" w:space="0" w:color="auto"/>
              <w:right w:val="nil"/>
            </w:tcBorders>
            <w:shd w:val="clear" w:color="auto" w:fill="auto"/>
            <w:noWrap/>
            <w:vAlign w:val="bottom"/>
            <w:hideMark/>
          </w:tcPr>
          <w:p w14:paraId="59FB9C44"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Инфра Минералс ЕООД</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14:paraId="24A6C84D"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лв</w:t>
            </w:r>
          </w:p>
        </w:tc>
        <w:tc>
          <w:tcPr>
            <w:tcW w:w="951" w:type="dxa"/>
            <w:tcBorders>
              <w:top w:val="nil"/>
              <w:left w:val="nil"/>
              <w:bottom w:val="single" w:sz="4" w:space="0" w:color="auto"/>
              <w:right w:val="single" w:sz="4" w:space="0" w:color="auto"/>
            </w:tcBorders>
            <w:shd w:val="clear" w:color="000000" w:fill="FFFFFF"/>
            <w:noWrap/>
            <w:vAlign w:val="bottom"/>
            <w:hideMark/>
          </w:tcPr>
          <w:p w14:paraId="2D5F0585"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4,00%</w:t>
            </w:r>
          </w:p>
        </w:tc>
        <w:tc>
          <w:tcPr>
            <w:tcW w:w="1663" w:type="dxa"/>
            <w:tcBorders>
              <w:top w:val="nil"/>
              <w:left w:val="nil"/>
              <w:bottom w:val="single" w:sz="4" w:space="0" w:color="auto"/>
              <w:right w:val="single" w:sz="4" w:space="0" w:color="auto"/>
            </w:tcBorders>
            <w:shd w:val="clear" w:color="000000" w:fill="FFFFFF"/>
            <w:noWrap/>
            <w:vAlign w:val="bottom"/>
            <w:hideMark/>
          </w:tcPr>
          <w:p w14:paraId="31638719"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31.12.2025</w:t>
            </w:r>
          </w:p>
        </w:tc>
        <w:tc>
          <w:tcPr>
            <w:tcW w:w="2599" w:type="dxa"/>
            <w:tcBorders>
              <w:top w:val="nil"/>
              <w:left w:val="nil"/>
              <w:bottom w:val="single" w:sz="4" w:space="0" w:color="auto"/>
              <w:right w:val="single" w:sz="4" w:space="0" w:color="auto"/>
            </w:tcBorders>
            <w:shd w:val="clear" w:color="000000" w:fill="FFFFFF"/>
            <w:noWrap/>
            <w:vAlign w:val="bottom"/>
            <w:hideMark/>
          </w:tcPr>
          <w:p w14:paraId="5242A45F"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няма</w:t>
            </w:r>
          </w:p>
        </w:tc>
      </w:tr>
      <w:tr w:rsidR="007E1002" w:rsidRPr="007E1002" w14:paraId="2E5B8161" w14:textId="77777777" w:rsidTr="007E1002">
        <w:trPr>
          <w:trHeight w:val="255"/>
        </w:trPr>
        <w:tc>
          <w:tcPr>
            <w:tcW w:w="3753" w:type="dxa"/>
            <w:tcBorders>
              <w:top w:val="nil"/>
              <w:left w:val="single" w:sz="4" w:space="0" w:color="auto"/>
              <w:bottom w:val="single" w:sz="4" w:space="0" w:color="auto"/>
              <w:right w:val="nil"/>
            </w:tcBorders>
            <w:shd w:val="clear" w:color="auto" w:fill="auto"/>
            <w:noWrap/>
            <w:vAlign w:val="bottom"/>
            <w:hideMark/>
          </w:tcPr>
          <w:p w14:paraId="1DE6F884"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Инфра Рейлуейс ЕООД</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14:paraId="40D8B06D"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лв</w:t>
            </w:r>
          </w:p>
        </w:tc>
        <w:tc>
          <w:tcPr>
            <w:tcW w:w="951" w:type="dxa"/>
            <w:tcBorders>
              <w:top w:val="nil"/>
              <w:left w:val="nil"/>
              <w:bottom w:val="single" w:sz="4" w:space="0" w:color="auto"/>
              <w:right w:val="single" w:sz="4" w:space="0" w:color="auto"/>
            </w:tcBorders>
            <w:shd w:val="clear" w:color="000000" w:fill="FFFFFF"/>
            <w:noWrap/>
            <w:vAlign w:val="bottom"/>
            <w:hideMark/>
          </w:tcPr>
          <w:p w14:paraId="53F52295"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4,00%</w:t>
            </w:r>
          </w:p>
        </w:tc>
        <w:tc>
          <w:tcPr>
            <w:tcW w:w="1663" w:type="dxa"/>
            <w:tcBorders>
              <w:top w:val="nil"/>
              <w:left w:val="nil"/>
              <w:bottom w:val="single" w:sz="4" w:space="0" w:color="auto"/>
              <w:right w:val="single" w:sz="4" w:space="0" w:color="auto"/>
            </w:tcBorders>
            <w:shd w:val="clear" w:color="000000" w:fill="FFFFFF"/>
            <w:noWrap/>
            <w:vAlign w:val="bottom"/>
            <w:hideMark/>
          </w:tcPr>
          <w:p w14:paraId="7E3C97ED"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31.12.2022</w:t>
            </w:r>
          </w:p>
        </w:tc>
        <w:tc>
          <w:tcPr>
            <w:tcW w:w="2599" w:type="dxa"/>
            <w:tcBorders>
              <w:top w:val="nil"/>
              <w:left w:val="nil"/>
              <w:bottom w:val="single" w:sz="4" w:space="0" w:color="auto"/>
              <w:right w:val="single" w:sz="4" w:space="0" w:color="auto"/>
            </w:tcBorders>
            <w:shd w:val="clear" w:color="000000" w:fill="FFFFFF"/>
            <w:noWrap/>
            <w:vAlign w:val="bottom"/>
            <w:hideMark/>
          </w:tcPr>
          <w:p w14:paraId="759D4B37"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няма</w:t>
            </w:r>
          </w:p>
        </w:tc>
      </w:tr>
      <w:tr w:rsidR="007E1002" w:rsidRPr="007E1002" w14:paraId="3AD3BD64" w14:textId="77777777" w:rsidTr="007E1002">
        <w:trPr>
          <w:trHeight w:val="255"/>
        </w:trPr>
        <w:tc>
          <w:tcPr>
            <w:tcW w:w="3753" w:type="dxa"/>
            <w:tcBorders>
              <w:top w:val="nil"/>
              <w:left w:val="single" w:sz="4" w:space="0" w:color="auto"/>
              <w:bottom w:val="single" w:sz="4" w:space="0" w:color="auto"/>
              <w:right w:val="nil"/>
            </w:tcBorders>
            <w:shd w:val="clear" w:color="auto" w:fill="auto"/>
            <w:noWrap/>
            <w:vAlign w:val="bottom"/>
            <w:hideMark/>
          </w:tcPr>
          <w:p w14:paraId="077F3E95"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Инфра Рейлуейс ЕООД</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14:paraId="37909386"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лв</w:t>
            </w:r>
          </w:p>
        </w:tc>
        <w:tc>
          <w:tcPr>
            <w:tcW w:w="951" w:type="dxa"/>
            <w:tcBorders>
              <w:top w:val="nil"/>
              <w:left w:val="nil"/>
              <w:bottom w:val="single" w:sz="4" w:space="0" w:color="auto"/>
              <w:right w:val="single" w:sz="4" w:space="0" w:color="auto"/>
            </w:tcBorders>
            <w:shd w:val="clear" w:color="000000" w:fill="FFFFFF"/>
            <w:noWrap/>
            <w:vAlign w:val="bottom"/>
            <w:hideMark/>
          </w:tcPr>
          <w:p w14:paraId="40785AC4"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4,00%</w:t>
            </w:r>
          </w:p>
        </w:tc>
        <w:tc>
          <w:tcPr>
            <w:tcW w:w="1663" w:type="dxa"/>
            <w:tcBorders>
              <w:top w:val="nil"/>
              <w:left w:val="nil"/>
              <w:bottom w:val="single" w:sz="4" w:space="0" w:color="auto"/>
              <w:right w:val="single" w:sz="4" w:space="0" w:color="auto"/>
            </w:tcBorders>
            <w:shd w:val="clear" w:color="000000" w:fill="FFFFFF"/>
            <w:noWrap/>
            <w:vAlign w:val="bottom"/>
            <w:hideMark/>
          </w:tcPr>
          <w:p w14:paraId="643ED7EF"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31.12.2025</w:t>
            </w:r>
          </w:p>
        </w:tc>
        <w:tc>
          <w:tcPr>
            <w:tcW w:w="2599" w:type="dxa"/>
            <w:tcBorders>
              <w:top w:val="nil"/>
              <w:left w:val="nil"/>
              <w:bottom w:val="single" w:sz="4" w:space="0" w:color="auto"/>
              <w:right w:val="single" w:sz="4" w:space="0" w:color="auto"/>
            </w:tcBorders>
            <w:shd w:val="clear" w:color="000000" w:fill="FFFFFF"/>
            <w:noWrap/>
            <w:vAlign w:val="bottom"/>
            <w:hideMark/>
          </w:tcPr>
          <w:p w14:paraId="59EED7A5"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няма</w:t>
            </w:r>
          </w:p>
        </w:tc>
      </w:tr>
      <w:tr w:rsidR="007E1002" w:rsidRPr="007E1002" w14:paraId="5737F7E5" w14:textId="77777777" w:rsidTr="007E1002">
        <w:trPr>
          <w:trHeight w:val="255"/>
        </w:trPr>
        <w:tc>
          <w:tcPr>
            <w:tcW w:w="3753" w:type="dxa"/>
            <w:tcBorders>
              <w:top w:val="nil"/>
              <w:left w:val="single" w:sz="4" w:space="0" w:color="auto"/>
              <w:bottom w:val="single" w:sz="4" w:space="0" w:color="auto"/>
              <w:right w:val="nil"/>
            </w:tcBorders>
            <w:shd w:val="clear" w:color="auto" w:fill="auto"/>
            <w:noWrap/>
            <w:vAlign w:val="bottom"/>
            <w:hideMark/>
          </w:tcPr>
          <w:p w14:paraId="6815871C"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Витех строй ЕООД</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14:paraId="1CED1896"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лв</w:t>
            </w:r>
          </w:p>
        </w:tc>
        <w:tc>
          <w:tcPr>
            <w:tcW w:w="951" w:type="dxa"/>
            <w:tcBorders>
              <w:top w:val="nil"/>
              <w:left w:val="nil"/>
              <w:bottom w:val="single" w:sz="4" w:space="0" w:color="auto"/>
              <w:right w:val="single" w:sz="4" w:space="0" w:color="auto"/>
            </w:tcBorders>
            <w:shd w:val="clear" w:color="000000" w:fill="FFFFFF"/>
            <w:noWrap/>
            <w:vAlign w:val="bottom"/>
            <w:hideMark/>
          </w:tcPr>
          <w:p w14:paraId="4ED4FD0C"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4,00%</w:t>
            </w:r>
          </w:p>
        </w:tc>
        <w:tc>
          <w:tcPr>
            <w:tcW w:w="1663" w:type="dxa"/>
            <w:tcBorders>
              <w:top w:val="nil"/>
              <w:left w:val="nil"/>
              <w:bottom w:val="single" w:sz="4" w:space="0" w:color="auto"/>
              <w:right w:val="single" w:sz="4" w:space="0" w:color="auto"/>
            </w:tcBorders>
            <w:shd w:val="clear" w:color="000000" w:fill="FFFFFF"/>
            <w:noWrap/>
            <w:vAlign w:val="bottom"/>
            <w:hideMark/>
          </w:tcPr>
          <w:p w14:paraId="5BFC84EF"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31.12.2025</w:t>
            </w:r>
          </w:p>
        </w:tc>
        <w:tc>
          <w:tcPr>
            <w:tcW w:w="2599" w:type="dxa"/>
            <w:tcBorders>
              <w:top w:val="nil"/>
              <w:left w:val="nil"/>
              <w:bottom w:val="single" w:sz="4" w:space="0" w:color="auto"/>
              <w:right w:val="single" w:sz="4" w:space="0" w:color="auto"/>
            </w:tcBorders>
            <w:shd w:val="clear" w:color="000000" w:fill="FFFFFF"/>
            <w:noWrap/>
            <w:vAlign w:val="bottom"/>
            <w:hideMark/>
          </w:tcPr>
          <w:p w14:paraId="01849AEC"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няма</w:t>
            </w:r>
          </w:p>
        </w:tc>
      </w:tr>
      <w:tr w:rsidR="007E1002" w:rsidRPr="007E1002" w14:paraId="42D898A7" w14:textId="77777777" w:rsidTr="007E1002">
        <w:trPr>
          <w:trHeight w:val="255"/>
        </w:trPr>
        <w:tc>
          <w:tcPr>
            <w:tcW w:w="3753" w:type="dxa"/>
            <w:tcBorders>
              <w:top w:val="nil"/>
              <w:left w:val="single" w:sz="4" w:space="0" w:color="auto"/>
              <w:bottom w:val="single" w:sz="4" w:space="0" w:color="auto"/>
              <w:right w:val="nil"/>
            </w:tcBorders>
            <w:shd w:val="clear" w:color="auto" w:fill="auto"/>
            <w:noWrap/>
            <w:vAlign w:val="bottom"/>
            <w:hideMark/>
          </w:tcPr>
          <w:p w14:paraId="192DF3D2"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Инфра актив ЕООД</w:t>
            </w:r>
          </w:p>
        </w:tc>
        <w:tc>
          <w:tcPr>
            <w:tcW w:w="1174" w:type="dxa"/>
            <w:tcBorders>
              <w:top w:val="nil"/>
              <w:left w:val="single" w:sz="4" w:space="0" w:color="auto"/>
              <w:bottom w:val="single" w:sz="4" w:space="0" w:color="auto"/>
              <w:right w:val="single" w:sz="4" w:space="0" w:color="auto"/>
            </w:tcBorders>
            <w:shd w:val="clear" w:color="000000" w:fill="FFFFFF"/>
            <w:noWrap/>
            <w:vAlign w:val="bottom"/>
            <w:hideMark/>
          </w:tcPr>
          <w:p w14:paraId="12EF8640"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лв</w:t>
            </w:r>
          </w:p>
        </w:tc>
        <w:tc>
          <w:tcPr>
            <w:tcW w:w="951" w:type="dxa"/>
            <w:tcBorders>
              <w:top w:val="nil"/>
              <w:left w:val="nil"/>
              <w:bottom w:val="single" w:sz="4" w:space="0" w:color="auto"/>
              <w:right w:val="single" w:sz="4" w:space="0" w:color="auto"/>
            </w:tcBorders>
            <w:shd w:val="clear" w:color="000000" w:fill="FFFFFF"/>
            <w:noWrap/>
            <w:vAlign w:val="bottom"/>
            <w:hideMark/>
          </w:tcPr>
          <w:p w14:paraId="09FDF941"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4,00%</w:t>
            </w:r>
          </w:p>
        </w:tc>
        <w:tc>
          <w:tcPr>
            <w:tcW w:w="1663" w:type="dxa"/>
            <w:tcBorders>
              <w:top w:val="nil"/>
              <w:left w:val="nil"/>
              <w:bottom w:val="single" w:sz="4" w:space="0" w:color="auto"/>
              <w:right w:val="single" w:sz="4" w:space="0" w:color="auto"/>
            </w:tcBorders>
            <w:shd w:val="clear" w:color="000000" w:fill="FFFFFF"/>
            <w:noWrap/>
            <w:vAlign w:val="bottom"/>
            <w:hideMark/>
          </w:tcPr>
          <w:p w14:paraId="6F4FE856" w14:textId="77777777" w:rsidR="007E1002" w:rsidRPr="007E1002" w:rsidRDefault="007E1002" w:rsidP="007E1002">
            <w:pPr>
              <w:jc w:val="right"/>
              <w:rPr>
                <w:rFonts w:ascii="Arial" w:hAnsi="Arial" w:cs="Arial"/>
                <w:sz w:val="20"/>
                <w:lang w:eastAsia="bg-BG"/>
              </w:rPr>
            </w:pPr>
            <w:r w:rsidRPr="007E1002">
              <w:rPr>
                <w:rFonts w:ascii="Arial" w:hAnsi="Arial" w:cs="Arial"/>
                <w:sz w:val="20"/>
                <w:lang w:eastAsia="bg-BG"/>
              </w:rPr>
              <w:t>31.12.2025</w:t>
            </w:r>
          </w:p>
        </w:tc>
        <w:tc>
          <w:tcPr>
            <w:tcW w:w="2599" w:type="dxa"/>
            <w:tcBorders>
              <w:top w:val="nil"/>
              <w:left w:val="nil"/>
              <w:bottom w:val="single" w:sz="4" w:space="0" w:color="auto"/>
              <w:right w:val="single" w:sz="4" w:space="0" w:color="auto"/>
            </w:tcBorders>
            <w:shd w:val="clear" w:color="000000" w:fill="FFFFFF"/>
            <w:noWrap/>
            <w:vAlign w:val="bottom"/>
            <w:hideMark/>
          </w:tcPr>
          <w:p w14:paraId="67910E25" w14:textId="77777777" w:rsidR="007E1002" w:rsidRPr="007E1002" w:rsidRDefault="007E1002" w:rsidP="007E1002">
            <w:pPr>
              <w:jc w:val="left"/>
              <w:rPr>
                <w:rFonts w:ascii="Arial" w:hAnsi="Arial" w:cs="Arial"/>
                <w:sz w:val="20"/>
                <w:lang w:eastAsia="bg-BG"/>
              </w:rPr>
            </w:pPr>
            <w:r w:rsidRPr="007E1002">
              <w:rPr>
                <w:rFonts w:ascii="Arial" w:hAnsi="Arial" w:cs="Arial"/>
                <w:sz w:val="20"/>
                <w:lang w:eastAsia="bg-BG"/>
              </w:rPr>
              <w:t>няма</w:t>
            </w:r>
          </w:p>
        </w:tc>
      </w:tr>
    </w:tbl>
    <w:p w14:paraId="3457E220" w14:textId="77777777" w:rsidR="007E1002" w:rsidRPr="007E1002" w:rsidRDefault="007E1002" w:rsidP="00FB735B">
      <w:pPr>
        <w:pStyle w:val="000Normal"/>
        <w:rPr>
          <w:rFonts w:ascii="Arial" w:hAnsi="Arial" w:cs="Arial"/>
          <w:b/>
          <w:sz w:val="16"/>
          <w:szCs w:val="16"/>
        </w:rPr>
      </w:pPr>
    </w:p>
    <w:p w14:paraId="5B080189" w14:textId="77777777" w:rsidR="00CA29CF" w:rsidRPr="00B14C47" w:rsidRDefault="00CA29CF" w:rsidP="003A1B5D">
      <w:pPr>
        <w:rPr>
          <w:rFonts w:ascii="Arial" w:hAnsi="Arial" w:cs="Arial"/>
          <w:sz w:val="18"/>
          <w:szCs w:val="18"/>
          <w:lang w:val="en-US"/>
        </w:rPr>
      </w:pPr>
    </w:p>
    <w:tbl>
      <w:tblPr>
        <w:tblW w:w="4994" w:type="pct"/>
        <w:tblCellMar>
          <w:left w:w="70" w:type="dxa"/>
          <w:right w:w="70" w:type="dxa"/>
        </w:tblCellMar>
        <w:tblLook w:val="04A0" w:firstRow="1" w:lastRow="0" w:firstColumn="1" w:lastColumn="0" w:noHBand="0" w:noVBand="1"/>
      </w:tblPr>
      <w:tblGrid>
        <w:gridCol w:w="3829"/>
        <w:gridCol w:w="2381"/>
        <w:gridCol w:w="1474"/>
        <w:gridCol w:w="1911"/>
      </w:tblGrid>
      <w:tr w:rsidR="004A455B" w:rsidRPr="00B14C47" w14:paraId="72BCB9CA" w14:textId="77777777" w:rsidTr="007E1002">
        <w:trPr>
          <w:trHeight w:val="191"/>
        </w:trPr>
        <w:tc>
          <w:tcPr>
            <w:tcW w:w="5000" w:type="pct"/>
            <w:gridSpan w:val="4"/>
            <w:tcBorders>
              <w:top w:val="single" w:sz="4" w:space="0" w:color="auto"/>
              <w:left w:val="single" w:sz="4" w:space="0" w:color="auto"/>
              <w:bottom w:val="single" w:sz="4" w:space="0" w:color="auto"/>
              <w:right w:val="nil"/>
            </w:tcBorders>
            <w:shd w:val="clear" w:color="auto" w:fill="auto"/>
            <w:vAlign w:val="bottom"/>
            <w:hideMark/>
          </w:tcPr>
          <w:p w14:paraId="16707171" w14:textId="0587BA81" w:rsidR="004A455B" w:rsidRPr="00B14C47" w:rsidRDefault="004A455B" w:rsidP="007E1002">
            <w:pPr>
              <w:jc w:val="center"/>
              <w:rPr>
                <w:rFonts w:ascii="Arial" w:hAnsi="Arial" w:cs="Arial"/>
                <w:b/>
                <w:bCs/>
                <w:sz w:val="20"/>
                <w:lang w:eastAsia="bg-BG"/>
              </w:rPr>
            </w:pPr>
            <w:r w:rsidRPr="00B14C47">
              <w:rPr>
                <w:rFonts w:ascii="Arial" w:hAnsi="Arial" w:cs="Arial"/>
                <w:b/>
                <w:bCs/>
                <w:sz w:val="20"/>
                <w:lang w:eastAsia="bg-BG"/>
              </w:rPr>
              <w:t>Салда на главници по вземания по цес</w:t>
            </w:r>
            <w:r w:rsidR="007E1002">
              <w:rPr>
                <w:rFonts w:ascii="Arial" w:hAnsi="Arial" w:cs="Arial"/>
                <w:b/>
                <w:bCs/>
                <w:sz w:val="20"/>
                <w:lang w:eastAsia="bg-BG"/>
              </w:rPr>
              <w:t>ии о</w:t>
            </w:r>
            <w:r w:rsidR="003F67E7">
              <w:rPr>
                <w:rFonts w:ascii="Arial" w:hAnsi="Arial" w:cs="Arial"/>
                <w:b/>
                <w:bCs/>
                <w:sz w:val="20"/>
                <w:lang w:eastAsia="bg-BG"/>
              </w:rPr>
              <w:t>т свързани лица в групата към 30.06</w:t>
            </w:r>
            <w:r w:rsidR="007E1002">
              <w:rPr>
                <w:rFonts w:ascii="Arial" w:hAnsi="Arial" w:cs="Arial"/>
                <w:b/>
                <w:bCs/>
                <w:sz w:val="20"/>
                <w:lang w:eastAsia="bg-BG"/>
              </w:rPr>
              <w:t>.2024г</w:t>
            </w:r>
          </w:p>
        </w:tc>
      </w:tr>
      <w:tr w:rsidR="004A455B" w:rsidRPr="00B14C47" w14:paraId="411CECE3" w14:textId="77777777" w:rsidTr="007E1002">
        <w:trPr>
          <w:trHeight w:val="433"/>
        </w:trPr>
        <w:tc>
          <w:tcPr>
            <w:tcW w:w="199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D306DFF" w14:textId="77777777" w:rsidR="004A455B" w:rsidRPr="00B14C47" w:rsidRDefault="004A455B" w:rsidP="004A455B">
            <w:pPr>
              <w:jc w:val="left"/>
              <w:rPr>
                <w:rFonts w:ascii="Arial" w:hAnsi="Arial" w:cs="Arial"/>
                <w:b/>
                <w:bCs/>
                <w:sz w:val="20"/>
                <w:lang w:eastAsia="bg-BG"/>
              </w:rPr>
            </w:pPr>
            <w:r w:rsidRPr="00B14C47">
              <w:rPr>
                <w:rFonts w:ascii="Arial" w:hAnsi="Arial" w:cs="Arial"/>
                <w:b/>
                <w:bCs/>
                <w:sz w:val="20"/>
                <w:lang w:eastAsia="bg-BG"/>
              </w:rPr>
              <w:t>Свързано лице</w:t>
            </w:r>
          </w:p>
        </w:tc>
        <w:tc>
          <w:tcPr>
            <w:tcW w:w="300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5F8B3F7"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Вземания</w:t>
            </w:r>
            <w:r w:rsidRPr="00B14C47">
              <w:rPr>
                <w:rFonts w:ascii="Arial" w:hAnsi="Arial" w:cs="Arial"/>
                <w:b/>
                <w:bCs/>
                <w:sz w:val="20"/>
                <w:lang w:eastAsia="bg-BG"/>
              </w:rPr>
              <w:br/>
              <w:t xml:space="preserve"> до 1 година</w:t>
            </w:r>
          </w:p>
        </w:tc>
      </w:tr>
      <w:tr w:rsidR="004A455B" w:rsidRPr="00B14C47" w14:paraId="58BC88F5" w14:textId="77777777" w:rsidTr="007E1002">
        <w:trPr>
          <w:trHeight w:val="433"/>
        </w:trPr>
        <w:tc>
          <w:tcPr>
            <w:tcW w:w="1995" w:type="pct"/>
            <w:vMerge/>
            <w:tcBorders>
              <w:top w:val="nil"/>
              <w:left w:val="single" w:sz="4" w:space="0" w:color="auto"/>
              <w:bottom w:val="single" w:sz="4" w:space="0" w:color="000000"/>
              <w:right w:val="single" w:sz="4" w:space="0" w:color="auto"/>
            </w:tcBorders>
            <w:vAlign w:val="center"/>
            <w:hideMark/>
          </w:tcPr>
          <w:p w14:paraId="0DB8985C" w14:textId="77777777" w:rsidR="004A455B" w:rsidRPr="00B14C47" w:rsidRDefault="004A455B" w:rsidP="004A455B">
            <w:pPr>
              <w:jc w:val="left"/>
              <w:rPr>
                <w:rFonts w:ascii="Arial" w:hAnsi="Arial" w:cs="Arial"/>
                <w:b/>
                <w:bCs/>
                <w:sz w:val="20"/>
                <w:lang w:eastAsia="bg-BG"/>
              </w:rPr>
            </w:pPr>
          </w:p>
        </w:tc>
        <w:tc>
          <w:tcPr>
            <w:tcW w:w="3005" w:type="pct"/>
            <w:gridSpan w:val="3"/>
            <w:vMerge/>
            <w:tcBorders>
              <w:top w:val="single" w:sz="4" w:space="0" w:color="auto"/>
              <w:left w:val="single" w:sz="4" w:space="0" w:color="auto"/>
              <w:bottom w:val="single" w:sz="4" w:space="0" w:color="000000"/>
              <w:right w:val="single" w:sz="4" w:space="0" w:color="000000"/>
            </w:tcBorders>
            <w:vAlign w:val="center"/>
            <w:hideMark/>
          </w:tcPr>
          <w:p w14:paraId="7DB9B75E" w14:textId="77777777" w:rsidR="004A455B" w:rsidRPr="00B14C47" w:rsidRDefault="004A455B" w:rsidP="004A455B">
            <w:pPr>
              <w:jc w:val="left"/>
              <w:rPr>
                <w:rFonts w:ascii="Arial" w:hAnsi="Arial" w:cs="Arial"/>
                <w:b/>
                <w:bCs/>
                <w:sz w:val="20"/>
                <w:lang w:eastAsia="bg-BG"/>
              </w:rPr>
            </w:pPr>
          </w:p>
        </w:tc>
      </w:tr>
      <w:tr w:rsidR="00CA29CF" w:rsidRPr="00B14C47" w14:paraId="7DBC2F2B" w14:textId="77777777" w:rsidTr="007E1002">
        <w:trPr>
          <w:trHeight w:val="382"/>
        </w:trPr>
        <w:tc>
          <w:tcPr>
            <w:tcW w:w="1995" w:type="pct"/>
            <w:vMerge/>
            <w:tcBorders>
              <w:top w:val="nil"/>
              <w:left w:val="single" w:sz="4" w:space="0" w:color="auto"/>
              <w:bottom w:val="single" w:sz="4" w:space="0" w:color="000000"/>
              <w:right w:val="single" w:sz="4" w:space="0" w:color="auto"/>
            </w:tcBorders>
            <w:vAlign w:val="center"/>
            <w:hideMark/>
          </w:tcPr>
          <w:p w14:paraId="53DF09ED" w14:textId="77777777" w:rsidR="004A455B" w:rsidRPr="00B14C47" w:rsidRDefault="004A455B" w:rsidP="004A455B">
            <w:pPr>
              <w:jc w:val="left"/>
              <w:rPr>
                <w:rFonts w:ascii="Arial" w:hAnsi="Arial" w:cs="Arial"/>
                <w:b/>
                <w:bCs/>
                <w:sz w:val="20"/>
                <w:lang w:eastAsia="bg-BG"/>
              </w:rPr>
            </w:pPr>
          </w:p>
        </w:tc>
        <w:tc>
          <w:tcPr>
            <w:tcW w:w="1241" w:type="pct"/>
            <w:tcBorders>
              <w:top w:val="nil"/>
              <w:left w:val="nil"/>
              <w:bottom w:val="single" w:sz="4" w:space="0" w:color="auto"/>
              <w:right w:val="single" w:sz="4" w:space="0" w:color="auto"/>
            </w:tcBorders>
            <w:shd w:val="clear" w:color="000000" w:fill="FFFFFF"/>
            <w:vAlign w:val="center"/>
            <w:hideMark/>
          </w:tcPr>
          <w:p w14:paraId="2E8CAAA8"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Брутна стойност</w:t>
            </w:r>
          </w:p>
        </w:tc>
        <w:tc>
          <w:tcPr>
            <w:tcW w:w="768" w:type="pct"/>
            <w:tcBorders>
              <w:top w:val="nil"/>
              <w:left w:val="nil"/>
              <w:bottom w:val="single" w:sz="4" w:space="0" w:color="auto"/>
              <w:right w:val="single" w:sz="4" w:space="0" w:color="auto"/>
            </w:tcBorders>
            <w:shd w:val="clear" w:color="000000" w:fill="FFFFFF"/>
            <w:vAlign w:val="center"/>
            <w:hideMark/>
          </w:tcPr>
          <w:p w14:paraId="657BB589"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Обезценки</w:t>
            </w:r>
          </w:p>
        </w:tc>
        <w:tc>
          <w:tcPr>
            <w:tcW w:w="996" w:type="pct"/>
            <w:tcBorders>
              <w:top w:val="nil"/>
              <w:left w:val="nil"/>
              <w:bottom w:val="single" w:sz="4" w:space="0" w:color="auto"/>
              <w:right w:val="single" w:sz="4" w:space="0" w:color="auto"/>
            </w:tcBorders>
            <w:shd w:val="clear" w:color="000000" w:fill="FFFFFF"/>
            <w:vAlign w:val="center"/>
            <w:hideMark/>
          </w:tcPr>
          <w:p w14:paraId="55F0460C"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Балансова стойност</w:t>
            </w:r>
          </w:p>
        </w:tc>
      </w:tr>
      <w:tr w:rsidR="00CA29CF" w:rsidRPr="00B14C47" w14:paraId="6760D2F1" w14:textId="77777777" w:rsidTr="007E1002">
        <w:trPr>
          <w:trHeight w:val="191"/>
        </w:trPr>
        <w:tc>
          <w:tcPr>
            <w:tcW w:w="1995" w:type="pct"/>
            <w:tcBorders>
              <w:top w:val="nil"/>
              <w:left w:val="single" w:sz="4" w:space="0" w:color="auto"/>
              <w:bottom w:val="single" w:sz="4" w:space="0" w:color="auto"/>
              <w:right w:val="nil"/>
            </w:tcBorders>
            <w:shd w:val="clear" w:color="auto" w:fill="auto"/>
            <w:noWrap/>
            <w:vAlign w:val="bottom"/>
            <w:hideMark/>
          </w:tcPr>
          <w:p w14:paraId="376A8BA5" w14:textId="77777777" w:rsidR="004A455B" w:rsidRPr="00B14C47" w:rsidRDefault="004A455B" w:rsidP="004A455B">
            <w:pPr>
              <w:jc w:val="left"/>
              <w:rPr>
                <w:rFonts w:ascii="Arial" w:hAnsi="Arial" w:cs="Arial"/>
                <w:sz w:val="20"/>
                <w:lang w:eastAsia="bg-BG"/>
              </w:rPr>
            </w:pPr>
            <w:r w:rsidRPr="00B14C47">
              <w:rPr>
                <w:rFonts w:ascii="Arial" w:hAnsi="Arial" w:cs="Arial"/>
                <w:sz w:val="20"/>
                <w:lang w:eastAsia="bg-BG"/>
              </w:rPr>
              <w:t>Инфра Рейуелс ЕООД</w:t>
            </w:r>
          </w:p>
        </w:tc>
        <w:tc>
          <w:tcPr>
            <w:tcW w:w="1241" w:type="pct"/>
            <w:tcBorders>
              <w:top w:val="nil"/>
              <w:left w:val="single" w:sz="4" w:space="0" w:color="auto"/>
              <w:bottom w:val="single" w:sz="4" w:space="0" w:color="auto"/>
              <w:right w:val="single" w:sz="4" w:space="0" w:color="auto"/>
            </w:tcBorders>
            <w:shd w:val="clear" w:color="000000" w:fill="FFFFFF"/>
            <w:noWrap/>
            <w:vAlign w:val="bottom"/>
            <w:hideMark/>
          </w:tcPr>
          <w:p w14:paraId="0D7BF8B5" w14:textId="2F1AFADE" w:rsidR="004A455B" w:rsidRPr="00B14C47" w:rsidRDefault="003F67E7" w:rsidP="00DF3F33">
            <w:pPr>
              <w:jc w:val="right"/>
              <w:rPr>
                <w:rFonts w:ascii="Arial" w:hAnsi="Arial" w:cs="Arial"/>
                <w:sz w:val="20"/>
                <w:lang w:eastAsia="bg-BG"/>
              </w:rPr>
            </w:pPr>
            <w:r>
              <w:rPr>
                <w:rFonts w:ascii="Arial" w:hAnsi="Arial" w:cs="Arial"/>
                <w:sz w:val="20"/>
                <w:lang w:eastAsia="bg-BG"/>
              </w:rPr>
              <w:t xml:space="preserve">                       505</w:t>
            </w:r>
            <w:r w:rsidR="004A455B" w:rsidRPr="00B14C47">
              <w:rPr>
                <w:rFonts w:ascii="Arial" w:hAnsi="Arial" w:cs="Arial"/>
                <w:sz w:val="20"/>
                <w:lang w:eastAsia="bg-BG"/>
              </w:rPr>
              <w:t xml:space="preserve"> </w:t>
            </w:r>
          </w:p>
        </w:tc>
        <w:tc>
          <w:tcPr>
            <w:tcW w:w="768" w:type="pct"/>
            <w:tcBorders>
              <w:top w:val="nil"/>
              <w:left w:val="nil"/>
              <w:bottom w:val="single" w:sz="4" w:space="0" w:color="auto"/>
              <w:right w:val="single" w:sz="4" w:space="0" w:color="auto"/>
            </w:tcBorders>
            <w:shd w:val="clear" w:color="000000" w:fill="FFFFFF"/>
            <w:noWrap/>
            <w:vAlign w:val="bottom"/>
            <w:hideMark/>
          </w:tcPr>
          <w:p w14:paraId="68010155" w14:textId="77777777" w:rsidR="004A455B" w:rsidRPr="00B14C47" w:rsidRDefault="004A455B" w:rsidP="00DF3F33">
            <w:pPr>
              <w:jc w:val="right"/>
              <w:rPr>
                <w:rFonts w:ascii="Arial" w:hAnsi="Arial" w:cs="Arial"/>
                <w:i/>
                <w:iCs/>
                <w:sz w:val="20"/>
                <w:lang w:eastAsia="bg-BG"/>
              </w:rPr>
            </w:pPr>
            <w:r w:rsidRPr="00B14C47">
              <w:rPr>
                <w:rFonts w:ascii="Arial" w:hAnsi="Arial" w:cs="Arial"/>
                <w:i/>
                <w:iCs/>
                <w:sz w:val="20"/>
                <w:lang w:eastAsia="bg-BG"/>
              </w:rPr>
              <w:t> </w:t>
            </w:r>
          </w:p>
        </w:tc>
        <w:tc>
          <w:tcPr>
            <w:tcW w:w="996" w:type="pct"/>
            <w:tcBorders>
              <w:top w:val="nil"/>
              <w:left w:val="nil"/>
              <w:bottom w:val="single" w:sz="4" w:space="0" w:color="auto"/>
              <w:right w:val="single" w:sz="4" w:space="0" w:color="auto"/>
            </w:tcBorders>
            <w:shd w:val="clear" w:color="000000" w:fill="FFFFFF"/>
            <w:noWrap/>
            <w:vAlign w:val="bottom"/>
            <w:hideMark/>
          </w:tcPr>
          <w:p w14:paraId="099D01F5" w14:textId="67506A66" w:rsidR="004A455B" w:rsidRPr="00B14C47" w:rsidRDefault="003F67E7" w:rsidP="00DF3F33">
            <w:pPr>
              <w:jc w:val="right"/>
              <w:rPr>
                <w:rFonts w:ascii="Arial" w:hAnsi="Arial" w:cs="Arial"/>
                <w:sz w:val="20"/>
                <w:lang w:eastAsia="bg-BG"/>
              </w:rPr>
            </w:pPr>
            <w:r>
              <w:rPr>
                <w:rFonts w:ascii="Arial" w:hAnsi="Arial" w:cs="Arial"/>
                <w:sz w:val="20"/>
                <w:lang w:eastAsia="bg-BG"/>
              </w:rPr>
              <w:t xml:space="preserve">                 505</w:t>
            </w:r>
            <w:r w:rsidR="004A455B" w:rsidRPr="00B14C47">
              <w:rPr>
                <w:rFonts w:ascii="Arial" w:hAnsi="Arial" w:cs="Arial"/>
                <w:sz w:val="20"/>
                <w:lang w:eastAsia="bg-BG"/>
              </w:rPr>
              <w:t xml:space="preserve"> </w:t>
            </w:r>
          </w:p>
        </w:tc>
      </w:tr>
      <w:tr w:rsidR="00CA29CF" w:rsidRPr="00B14C47" w14:paraId="3A2AF290" w14:textId="77777777" w:rsidTr="007E1002">
        <w:trPr>
          <w:trHeight w:val="191"/>
        </w:trPr>
        <w:tc>
          <w:tcPr>
            <w:tcW w:w="1995" w:type="pct"/>
            <w:tcBorders>
              <w:top w:val="nil"/>
              <w:left w:val="single" w:sz="4" w:space="0" w:color="auto"/>
              <w:bottom w:val="single" w:sz="4" w:space="0" w:color="auto"/>
              <w:right w:val="nil"/>
            </w:tcBorders>
            <w:shd w:val="clear" w:color="auto" w:fill="auto"/>
            <w:noWrap/>
            <w:vAlign w:val="bottom"/>
            <w:hideMark/>
          </w:tcPr>
          <w:p w14:paraId="08895793" w14:textId="77777777" w:rsidR="004A455B" w:rsidRPr="00B14C47" w:rsidRDefault="004A455B" w:rsidP="004A455B">
            <w:pPr>
              <w:jc w:val="left"/>
              <w:rPr>
                <w:rFonts w:ascii="Arial" w:hAnsi="Arial" w:cs="Arial"/>
                <w:sz w:val="20"/>
                <w:lang w:eastAsia="bg-BG"/>
              </w:rPr>
            </w:pPr>
            <w:r w:rsidRPr="00B14C47">
              <w:rPr>
                <w:rFonts w:ascii="Arial" w:hAnsi="Arial" w:cs="Arial"/>
                <w:sz w:val="20"/>
                <w:lang w:eastAsia="bg-BG"/>
              </w:rPr>
              <w:t>Витех строй ЕООД</w:t>
            </w:r>
          </w:p>
        </w:tc>
        <w:tc>
          <w:tcPr>
            <w:tcW w:w="1241" w:type="pct"/>
            <w:tcBorders>
              <w:top w:val="nil"/>
              <w:left w:val="single" w:sz="4" w:space="0" w:color="auto"/>
              <w:bottom w:val="single" w:sz="4" w:space="0" w:color="auto"/>
              <w:right w:val="single" w:sz="4" w:space="0" w:color="auto"/>
            </w:tcBorders>
            <w:shd w:val="clear" w:color="000000" w:fill="FFFFFF"/>
            <w:noWrap/>
            <w:vAlign w:val="bottom"/>
            <w:hideMark/>
          </w:tcPr>
          <w:p w14:paraId="17F144B9" w14:textId="77777777" w:rsidR="004A455B" w:rsidRPr="00B14C47" w:rsidRDefault="004A455B" w:rsidP="00DF3F33">
            <w:pPr>
              <w:jc w:val="right"/>
              <w:rPr>
                <w:rFonts w:ascii="Arial" w:hAnsi="Arial" w:cs="Arial"/>
                <w:sz w:val="20"/>
                <w:lang w:eastAsia="bg-BG"/>
              </w:rPr>
            </w:pPr>
            <w:r w:rsidRPr="00B14C47">
              <w:rPr>
                <w:rFonts w:ascii="Arial" w:hAnsi="Arial" w:cs="Arial"/>
                <w:sz w:val="20"/>
                <w:lang w:eastAsia="bg-BG"/>
              </w:rPr>
              <w:t xml:space="preserve">                    8 204 </w:t>
            </w:r>
          </w:p>
        </w:tc>
        <w:tc>
          <w:tcPr>
            <w:tcW w:w="768" w:type="pct"/>
            <w:tcBorders>
              <w:top w:val="nil"/>
              <w:left w:val="nil"/>
              <w:bottom w:val="single" w:sz="4" w:space="0" w:color="auto"/>
              <w:right w:val="single" w:sz="4" w:space="0" w:color="auto"/>
            </w:tcBorders>
            <w:shd w:val="clear" w:color="000000" w:fill="FFFFFF"/>
            <w:noWrap/>
            <w:vAlign w:val="bottom"/>
            <w:hideMark/>
          </w:tcPr>
          <w:p w14:paraId="1DE62807" w14:textId="77777777" w:rsidR="004A455B" w:rsidRPr="00B14C47" w:rsidRDefault="004A455B" w:rsidP="00DF3F33">
            <w:pPr>
              <w:jc w:val="right"/>
              <w:rPr>
                <w:rFonts w:ascii="Arial" w:hAnsi="Arial" w:cs="Arial"/>
                <w:i/>
                <w:iCs/>
                <w:sz w:val="20"/>
                <w:lang w:eastAsia="bg-BG"/>
              </w:rPr>
            </w:pPr>
            <w:r w:rsidRPr="00B14C47">
              <w:rPr>
                <w:rFonts w:ascii="Arial" w:hAnsi="Arial" w:cs="Arial"/>
                <w:i/>
                <w:iCs/>
                <w:sz w:val="20"/>
                <w:lang w:eastAsia="bg-BG"/>
              </w:rPr>
              <w:t> </w:t>
            </w:r>
          </w:p>
        </w:tc>
        <w:tc>
          <w:tcPr>
            <w:tcW w:w="996" w:type="pct"/>
            <w:tcBorders>
              <w:top w:val="nil"/>
              <w:left w:val="nil"/>
              <w:bottom w:val="single" w:sz="4" w:space="0" w:color="auto"/>
              <w:right w:val="single" w:sz="4" w:space="0" w:color="auto"/>
            </w:tcBorders>
            <w:shd w:val="clear" w:color="000000" w:fill="FFFFFF"/>
            <w:noWrap/>
            <w:vAlign w:val="bottom"/>
            <w:hideMark/>
          </w:tcPr>
          <w:p w14:paraId="219A5E93" w14:textId="77777777" w:rsidR="004A455B" w:rsidRPr="00B14C47" w:rsidRDefault="004A455B" w:rsidP="00DF3F33">
            <w:pPr>
              <w:jc w:val="right"/>
              <w:rPr>
                <w:rFonts w:ascii="Arial" w:hAnsi="Arial" w:cs="Arial"/>
                <w:sz w:val="20"/>
                <w:lang w:eastAsia="bg-BG"/>
              </w:rPr>
            </w:pPr>
            <w:r w:rsidRPr="00B14C47">
              <w:rPr>
                <w:rFonts w:ascii="Arial" w:hAnsi="Arial" w:cs="Arial"/>
                <w:sz w:val="20"/>
                <w:lang w:eastAsia="bg-BG"/>
              </w:rPr>
              <w:t xml:space="preserve">              8 204 </w:t>
            </w:r>
          </w:p>
        </w:tc>
      </w:tr>
      <w:tr w:rsidR="00CA29CF" w:rsidRPr="00B14C47" w14:paraId="6C670F39" w14:textId="77777777" w:rsidTr="007E1002">
        <w:trPr>
          <w:trHeight w:val="191"/>
        </w:trPr>
        <w:tc>
          <w:tcPr>
            <w:tcW w:w="1995" w:type="pct"/>
            <w:tcBorders>
              <w:top w:val="nil"/>
              <w:left w:val="single" w:sz="4" w:space="0" w:color="auto"/>
              <w:bottom w:val="single" w:sz="4" w:space="0" w:color="auto"/>
              <w:right w:val="single" w:sz="4" w:space="0" w:color="auto"/>
            </w:tcBorders>
            <w:shd w:val="clear" w:color="000000" w:fill="00AEEF"/>
            <w:vAlign w:val="bottom"/>
            <w:hideMark/>
          </w:tcPr>
          <w:p w14:paraId="1CA84AE4" w14:textId="77777777" w:rsidR="004A455B" w:rsidRPr="00B14C47" w:rsidRDefault="004A455B" w:rsidP="004A455B">
            <w:pPr>
              <w:jc w:val="left"/>
              <w:rPr>
                <w:rFonts w:ascii="Arial" w:hAnsi="Arial" w:cs="Arial"/>
                <w:b/>
                <w:bCs/>
                <w:sz w:val="20"/>
                <w:lang w:eastAsia="bg-BG"/>
              </w:rPr>
            </w:pPr>
            <w:r w:rsidRPr="00B14C47">
              <w:rPr>
                <w:rFonts w:ascii="Arial" w:hAnsi="Arial" w:cs="Arial"/>
                <w:b/>
                <w:bCs/>
                <w:sz w:val="20"/>
                <w:lang w:eastAsia="bg-BG"/>
              </w:rPr>
              <w:t>Общо</w:t>
            </w:r>
          </w:p>
        </w:tc>
        <w:tc>
          <w:tcPr>
            <w:tcW w:w="1241" w:type="pct"/>
            <w:tcBorders>
              <w:top w:val="nil"/>
              <w:left w:val="nil"/>
              <w:bottom w:val="single" w:sz="4" w:space="0" w:color="auto"/>
              <w:right w:val="nil"/>
            </w:tcBorders>
            <w:shd w:val="clear" w:color="000000" w:fill="00AEEF"/>
            <w:noWrap/>
            <w:vAlign w:val="bottom"/>
            <w:hideMark/>
          </w:tcPr>
          <w:p w14:paraId="7F4DD8BA" w14:textId="7DE0D8CE" w:rsidR="004A455B" w:rsidRPr="00B14C47" w:rsidRDefault="003F67E7" w:rsidP="00DF3F33">
            <w:pPr>
              <w:jc w:val="right"/>
              <w:rPr>
                <w:rFonts w:ascii="Arial" w:hAnsi="Arial" w:cs="Arial"/>
                <w:b/>
                <w:bCs/>
                <w:sz w:val="20"/>
                <w:lang w:eastAsia="bg-BG"/>
              </w:rPr>
            </w:pPr>
            <w:r>
              <w:rPr>
                <w:rFonts w:ascii="Arial" w:hAnsi="Arial" w:cs="Arial"/>
                <w:b/>
                <w:bCs/>
                <w:sz w:val="20"/>
                <w:lang w:eastAsia="bg-BG"/>
              </w:rPr>
              <w:t xml:space="preserve">                    8 709</w:t>
            </w:r>
            <w:r w:rsidR="004A455B" w:rsidRPr="00B14C47">
              <w:rPr>
                <w:rFonts w:ascii="Arial" w:hAnsi="Arial" w:cs="Arial"/>
                <w:b/>
                <w:bCs/>
                <w:sz w:val="20"/>
                <w:lang w:eastAsia="bg-BG"/>
              </w:rPr>
              <w:t xml:space="preserve"> </w:t>
            </w:r>
          </w:p>
        </w:tc>
        <w:tc>
          <w:tcPr>
            <w:tcW w:w="768" w:type="pct"/>
            <w:tcBorders>
              <w:top w:val="nil"/>
              <w:left w:val="single" w:sz="4" w:space="0" w:color="auto"/>
              <w:bottom w:val="single" w:sz="4" w:space="0" w:color="auto"/>
              <w:right w:val="nil"/>
            </w:tcBorders>
            <w:shd w:val="clear" w:color="000000" w:fill="00AEEF"/>
            <w:noWrap/>
            <w:vAlign w:val="bottom"/>
            <w:hideMark/>
          </w:tcPr>
          <w:p w14:paraId="688057D8" w14:textId="6049183C" w:rsidR="004A455B" w:rsidRPr="00B14C47" w:rsidRDefault="004A455B" w:rsidP="00CA29CF">
            <w:pPr>
              <w:rPr>
                <w:rFonts w:ascii="Arial" w:hAnsi="Arial" w:cs="Arial"/>
                <w:b/>
                <w:bCs/>
                <w:i/>
                <w:iCs/>
                <w:sz w:val="20"/>
                <w:lang w:eastAsia="bg-BG"/>
              </w:rPr>
            </w:pPr>
            <w:r w:rsidRPr="00B14C47">
              <w:rPr>
                <w:rFonts w:ascii="Arial" w:hAnsi="Arial" w:cs="Arial"/>
                <w:b/>
                <w:bCs/>
                <w:i/>
                <w:iCs/>
                <w:sz w:val="20"/>
                <w:lang w:eastAsia="bg-BG"/>
              </w:rPr>
              <w:t xml:space="preserve">                -   </w:t>
            </w:r>
          </w:p>
        </w:tc>
        <w:tc>
          <w:tcPr>
            <w:tcW w:w="996" w:type="pct"/>
            <w:tcBorders>
              <w:top w:val="nil"/>
              <w:left w:val="single" w:sz="4" w:space="0" w:color="auto"/>
              <w:bottom w:val="single" w:sz="4" w:space="0" w:color="auto"/>
              <w:right w:val="nil"/>
            </w:tcBorders>
            <w:shd w:val="clear" w:color="000000" w:fill="00AEEF"/>
            <w:noWrap/>
            <w:vAlign w:val="bottom"/>
            <w:hideMark/>
          </w:tcPr>
          <w:p w14:paraId="1EB6F879" w14:textId="2F2C06B2" w:rsidR="004A455B" w:rsidRPr="00B14C47" w:rsidRDefault="003F67E7" w:rsidP="00DF3F33">
            <w:pPr>
              <w:jc w:val="right"/>
              <w:rPr>
                <w:rFonts w:ascii="Arial" w:hAnsi="Arial" w:cs="Arial"/>
                <w:b/>
                <w:bCs/>
                <w:sz w:val="20"/>
                <w:lang w:eastAsia="bg-BG"/>
              </w:rPr>
            </w:pPr>
            <w:r>
              <w:rPr>
                <w:rFonts w:ascii="Arial" w:hAnsi="Arial" w:cs="Arial"/>
                <w:b/>
                <w:bCs/>
                <w:sz w:val="20"/>
                <w:lang w:eastAsia="bg-BG"/>
              </w:rPr>
              <w:t xml:space="preserve">              8 709</w:t>
            </w:r>
            <w:r w:rsidR="004A455B" w:rsidRPr="00B14C47">
              <w:rPr>
                <w:rFonts w:ascii="Arial" w:hAnsi="Arial" w:cs="Arial"/>
                <w:b/>
                <w:bCs/>
                <w:sz w:val="20"/>
                <w:lang w:eastAsia="bg-BG"/>
              </w:rPr>
              <w:t xml:space="preserve"> </w:t>
            </w:r>
          </w:p>
        </w:tc>
      </w:tr>
    </w:tbl>
    <w:p w14:paraId="1D82828D" w14:textId="77777777" w:rsidR="00F422BC" w:rsidRDefault="00F422BC" w:rsidP="00BD4996">
      <w:pPr>
        <w:rPr>
          <w:rFonts w:ascii="Arial" w:hAnsi="Arial" w:cs="Arial"/>
          <w:sz w:val="18"/>
          <w:szCs w:val="18"/>
        </w:rPr>
      </w:pPr>
    </w:p>
    <w:p w14:paraId="4AB9C9B7" w14:textId="3D517242" w:rsidR="007E1002" w:rsidRDefault="007E1002" w:rsidP="00BD4996">
      <w:pPr>
        <w:rPr>
          <w:rFonts w:ascii="Arial" w:hAnsi="Arial" w:cs="Arial"/>
          <w:sz w:val="18"/>
          <w:szCs w:val="18"/>
        </w:rPr>
      </w:pPr>
      <w:r>
        <w:rPr>
          <w:rFonts w:ascii="Arial" w:hAnsi="Arial" w:cs="Arial"/>
          <w:sz w:val="18"/>
          <w:szCs w:val="18"/>
        </w:rPr>
        <w:t>,</w:t>
      </w:r>
    </w:p>
    <w:tbl>
      <w:tblPr>
        <w:tblW w:w="5000" w:type="pct"/>
        <w:tblCellMar>
          <w:left w:w="70" w:type="dxa"/>
          <w:right w:w="70" w:type="dxa"/>
        </w:tblCellMar>
        <w:tblLook w:val="04A0" w:firstRow="1" w:lastRow="0" w:firstColumn="1" w:lastColumn="0" w:noHBand="0" w:noVBand="1"/>
      </w:tblPr>
      <w:tblGrid>
        <w:gridCol w:w="1821"/>
        <w:gridCol w:w="1440"/>
        <w:gridCol w:w="1345"/>
        <w:gridCol w:w="2071"/>
        <w:gridCol w:w="1238"/>
        <w:gridCol w:w="1692"/>
      </w:tblGrid>
      <w:tr w:rsidR="003F67E7" w:rsidRPr="003F67E7" w14:paraId="4A7B12C3" w14:textId="77777777" w:rsidTr="003F67E7">
        <w:trPr>
          <w:trHeight w:val="25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BF71BD"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Начислени приходи от лихви и вземания за лихви по заеми и цесии, предоставени на свързани лица в групата</w:t>
            </w:r>
          </w:p>
        </w:tc>
      </w:tr>
      <w:tr w:rsidR="003F67E7" w:rsidRPr="003F67E7" w14:paraId="296E7BDE" w14:textId="77777777" w:rsidTr="003F67E7">
        <w:trPr>
          <w:trHeight w:val="255"/>
        </w:trPr>
        <w:tc>
          <w:tcPr>
            <w:tcW w:w="95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8B9808"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Кредитополучател</w:t>
            </w:r>
          </w:p>
        </w:tc>
        <w:tc>
          <w:tcPr>
            <w:tcW w:w="742" w:type="pct"/>
            <w:tcBorders>
              <w:top w:val="nil"/>
              <w:left w:val="nil"/>
              <w:bottom w:val="nil"/>
              <w:right w:val="nil"/>
            </w:tcBorders>
            <w:shd w:val="clear" w:color="000000" w:fill="FFFFFF"/>
            <w:noWrap/>
            <w:vAlign w:val="bottom"/>
            <w:hideMark/>
          </w:tcPr>
          <w:p w14:paraId="7C5458E6"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Вземане към</w:t>
            </w:r>
          </w:p>
        </w:tc>
        <w:tc>
          <w:tcPr>
            <w:tcW w:w="688" w:type="pct"/>
            <w:tcBorders>
              <w:top w:val="nil"/>
              <w:left w:val="single" w:sz="4" w:space="0" w:color="auto"/>
              <w:bottom w:val="nil"/>
              <w:right w:val="nil"/>
            </w:tcBorders>
            <w:shd w:val="clear" w:color="000000" w:fill="FFFFFF"/>
            <w:noWrap/>
            <w:vAlign w:val="bottom"/>
            <w:hideMark/>
          </w:tcPr>
          <w:p w14:paraId="4AE36245"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Начислени през</w:t>
            </w:r>
          </w:p>
        </w:tc>
        <w:tc>
          <w:tcPr>
            <w:tcW w:w="1100" w:type="pct"/>
            <w:tcBorders>
              <w:top w:val="nil"/>
              <w:left w:val="single" w:sz="4" w:space="0" w:color="auto"/>
              <w:bottom w:val="nil"/>
              <w:right w:val="nil"/>
            </w:tcBorders>
            <w:shd w:val="clear" w:color="000000" w:fill="FFFFFF"/>
            <w:noWrap/>
            <w:vAlign w:val="bottom"/>
            <w:hideMark/>
          </w:tcPr>
          <w:p w14:paraId="103DCE81"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Получени/ Отписани през</w:t>
            </w:r>
          </w:p>
        </w:tc>
        <w:tc>
          <w:tcPr>
            <w:tcW w:w="62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E27F1BF"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Обезценки</w:t>
            </w:r>
          </w:p>
        </w:tc>
        <w:tc>
          <w:tcPr>
            <w:tcW w:w="885" w:type="pct"/>
            <w:tcBorders>
              <w:top w:val="nil"/>
              <w:left w:val="nil"/>
              <w:bottom w:val="nil"/>
              <w:right w:val="single" w:sz="4" w:space="0" w:color="auto"/>
            </w:tcBorders>
            <w:shd w:val="clear" w:color="000000" w:fill="FFFFFF"/>
            <w:noWrap/>
            <w:vAlign w:val="bottom"/>
            <w:hideMark/>
          </w:tcPr>
          <w:p w14:paraId="4D71FFC8"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Вземане към</w:t>
            </w:r>
          </w:p>
        </w:tc>
      </w:tr>
      <w:tr w:rsidR="003F67E7" w:rsidRPr="003F67E7" w14:paraId="58F94C3B" w14:textId="77777777" w:rsidTr="003F67E7">
        <w:trPr>
          <w:trHeight w:val="255"/>
        </w:trPr>
        <w:tc>
          <w:tcPr>
            <w:tcW w:w="958" w:type="pct"/>
            <w:vMerge/>
            <w:tcBorders>
              <w:top w:val="nil"/>
              <w:left w:val="single" w:sz="4" w:space="0" w:color="auto"/>
              <w:bottom w:val="single" w:sz="4" w:space="0" w:color="000000"/>
              <w:right w:val="single" w:sz="4" w:space="0" w:color="auto"/>
            </w:tcBorders>
            <w:vAlign w:val="center"/>
            <w:hideMark/>
          </w:tcPr>
          <w:p w14:paraId="0E92AFD2" w14:textId="77777777" w:rsidR="003F67E7" w:rsidRPr="003F67E7" w:rsidRDefault="003F67E7" w:rsidP="003F67E7">
            <w:pPr>
              <w:jc w:val="left"/>
              <w:rPr>
                <w:rFonts w:ascii="Arial" w:hAnsi="Arial" w:cs="Arial"/>
                <w:b/>
                <w:bCs/>
                <w:sz w:val="20"/>
                <w:lang w:eastAsia="bg-BG"/>
              </w:rPr>
            </w:pPr>
          </w:p>
        </w:tc>
        <w:tc>
          <w:tcPr>
            <w:tcW w:w="742" w:type="pct"/>
            <w:tcBorders>
              <w:top w:val="nil"/>
              <w:left w:val="nil"/>
              <w:bottom w:val="single" w:sz="4" w:space="0" w:color="auto"/>
              <w:right w:val="nil"/>
            </w:tcBorders>
            <w:shd w:val="clear" w:color="000000" w:fill="FFFFFF"/>
            <w:noWrap/>
            <w:vAlign w:val="bottom"/>
            <w:hideMark/>
          </w:tcPr>
          <w:p w14:paraId="2C6FB94C"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31.12.2023</w:t>
            </w:r>
          </w:p>
        </w:tc>
        <w:tc>
          <w:tcPr>
            <w:tcW w:w="688" w:type="pct"/>
            <w:tcBorders>
              <w:top w:val="nil"/>
              <w:left w:val="single" w:sz="4" w:space="0" w:color="auto"/>
              <w:bottom w:val="single" w:sz="4" w:space="0" w:color="auto"/>
              <w:right w:val="nil"/>
            </w:tcBorders>
            <w:shd w:val="clear" w:color="000000" w:fill="FFFFFF"/>
            <w:noWrap/>
            <w:vAlign w:val="bottom"/>
            <w:hideMark/>
          </w:tcPr>
          <w:p w14:paraId="55246051"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2024</w:t>
            </w:r>
          </w:p>
        </w:tc>
        <w:tc>
          <w:tcPr>
            <w:tcW w:w="1100" w:type="pct"/>
            <w:tcBorders>
              <w:top w:val="nil"/>
              <w:left w:val="single" w:sz="4" w:space="0" w:color="auto"/>
              <w:bottom w:val="single" w:sz="4" w:space="0" w:color="auto"/>
              <w:right w:val="nil"/>
            </w:tcBorders>
            <w:shd w:val="clear" w:color="000000" w:fill="FFFFFF"/>
            <w:noWrap/>
            <w:vAlign w:val="bottom"/>
            <w:hideMark/>
          </w:tcPr>
          <w:p w14:paraId="6F8FD6BE"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2024</w:t>
            </w:r>
          </w:p>
        </w:tc>
        <w:tc>
          <w:tcPr>
            <w:tcW w:w="627" w:type="pct"/>
            <w:vMerge/>
            <w:tcBorders>
              <w:top w:val="nil"/>
              <w:left w:val="single" w:sz="4" w:space="0" w:color="auto"/>
              <w:bottom w:val="single" w:sz="4" w:space="0" w:color="000000"/>
              <w:right w:val="single" w:sz="4" w:space="0" w:color="auto"/>
            </w:tcBorders>
            <w:vAlign w:val="center"/>
            <w:hideMark/>
          </w:tcPr>
          <w:p w14:paraId="7C2E369F" w14:textId="77777777" w:rsidR="003F67E7" w:rsidRPr="003F67E7" w:rsidRDefault="003F67E7" w:rsidP="003F67E7">
            <w:pPr>
              <w:jc w:val="left"/>
              <w:rPr>
                <w:rFonts w:ascii="Arial" w:hAnsi="Arial" w:cs="Arial"/>
                <w:b/>
                <w:bCs/>
                <w:sz w:val="20"/>
                <w:lang w:eastAsia="bg-BG"/>
              </w:rPr>
            </w:pPr>
          </w:p>
        </w:tc>
        <w:tc>
          <w:tcPr>
            <w:tcW w:w="885" w:type="pct"/>
            <w:tcBorders>
              <w:top w:val="nil"/>
              <w:left w:val="nil"/>
              <w:bottom w:val="single" w:sz="4" w:space="0" w:color="auto"/>
              <w:right w:val="single" w:sz="4" w:space="0" w:color="auto"/>
            </w:tcBorders>
            <w:shd w:val="clear" w:color="000000" w:fill="FFFFFF"/>
            <w:noWrap/>
            <w:vAlign w:val="bottom"/>
            <w:hideMark/>
          </w:tcPr>
          <w:p w14:paraId="13F27EDB"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30.6.2024</w:t>
            </w:r>
          </w:p>
        </w:tc>
      </w:tr>
      <w:tr w:rsidR="003F67E7" w:rsidRPr="003F67E7" w14:paraId="41A6C248" w14:textId="77777777" w:rsidTr="003F67E7">
        <w:trPr>
          <w:trHeight w:val="255"/>
        </w:trPr>
        <w:tc>
          <w:tcPr>
            <w:tcW w:w="958" w:type="pct"/>
            <w:tcBorders>
              <w:top w:val="nil"/>
              <w:left w:val="single" w:sz="4" w:space="0" w:color="auto"/>
              <w:bottom w:val="single" w:sz="4" w:space="0" w:color="auto"/>
              <w:right w:val="nil"/>
            </w:tcBorders>
            <w:shd w:val="clear" w:color="auto" w:fill="auto"/>
            <w:noWrap/>
            <w:vAlign w:val="bottom"/>
            <w:hideMark/>
          </w:tcPr>
          <w:p w14:paraId="6EEE67DF"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Инфра Рейлуейс ЕООД</w:t>
            </w:r>
          </w:p>
        </w:tc>
        <w:tc>
          <w:tcPr>
            <w:tcW w:w="742" w:type="pct"/>
            <w:tcBorders>
              <w:top w:val="nil"/>
              <w:left w:val="single" w:sz="4" w:space="0" w:color="auto"/>
              <w:bottom w:val="single" w:sz="4" w:space="0" w:color="auto"/>
              <w:right w:val="nil"/>
            </w:tcBorders>
            <w:shd w:val="clear" w:color="000000" w:fill="FFFFFF"/>
            <w:noWrap/>
            <w:vAlign w:val="bottom"/>
            <w:hideMark/>
          </w:tcPr>
          <w:p w14:paraId="4B13BA31"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61 </w:t>
            </w:r>
          </w:p>
        </w:tc>
        <w:tc>
          <w:tcPr>
            <w:tcW w:w="688" w:type="pct"/>
            <w:tcBorders>
              <w:top w:val="nil"/>
              <w:left w:val="single" w:sz="4" w:space="0" w:color="auto"/>
              <w:bottom w:val="single" w:sz="4" w:space="0" w:color="auto"/>
              <w:right w:val="nil"/>
            </w:tcBorders>
            <w:shd w:val="clear" w:color="000000" w:fill="FFFFFF"/>
            <w:noWrap/>
            <w:vAlign w:val="bottom"/>
            <w:hideMark/>
          </w:tcPr>
          <w:p w14:paraId="4EDABE18"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10 </w:t>
            </w:r>
          </w:p>
        </w:tc>
        <w:tc>
          <w:tcPr>
            <w:tcW w:w="1100" w:type="pct"/>
            <w:tcBorders>
              <w:top w:val="nil"/>
              <w:left w:val="single" w:sz="4" w:space="0" w:color="auto"/>
              <w:bottom w:val="single" w:sz="4" w:space="0" w:color="auto"/>
              <w:right w:val="nil"/>
            </w:tcBorders>
            <w:shd w:val="clear" w:color="000000" w:fill="FFFFFF"/>
            <w:noWrap/>
            <w:vAlign w:val="bottom"/>
            <w:hideMark/>
          </w:tcPr>
          <w:p w14:paraId="38BB85D2"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w:t>
            </w:r>
          </w:p>
        </w:tc>
        <w:tc>
          <w:tcPr>
            <w:tcW w:w="627" w:type="pct"/>
            <w:tcBorders>
              <w:top w:val="nil"/>
              <w:left w:val="single" w:sz="4" w:space="0" w:color="auto"/>
              <w:bottom w:val="single" w:sz="4" w:space="0" w:color="auto"/>
              <w:right w:val="nil"/>
            </w:tcBorders>
            <w:shd w:val="clear" w:color="000000" w:fill="FFFFFF"/>
            <w:noWrap/>
            <w:vAlign w:val="bottom"/>
            <w:hideMark/>
          </w:tcPr>
          <w:p w14:paraId="0D09A0BC" w14:textId="77777777" w:rsidR="003F67E7" w:rsidRPr="003F67E7" w:rsidRDefault="003F67E7" w:rsidP="003F67E7">
            <w:pPr>
              <w:jc w:val="left"/>
              <w:rPr>
                <w:rFonts w:ascii="Arial" w:hAnsi="Arial" w:cs="Arial"/>
                <w:i/>
                <w:iCs/>
                <w:sz w:val="20"/>
                <w:lang w:eastAsia="bg-BG"/>
              </w:rPr>
            </w:pPr>
            <w:r w:rsidRPr="003F67E7">
              <w:rPr>
                <w:rFonts w:ascii="Arial" w:hAnsi="Arial" w:cs="Arial"/>
                <w:i/>
                <w:iCs/>
                <w:sz w:val="20"/>
                <w:lang w:eastAsia="bg-BG"/>
              </w:rPr>
              <w:t> </w:t>
            </w:r>
          </w:p>
        </w:tc>
        <w:tc>
          <w:tcPr>
            <w:tcW w:w="885" w:type="pct"/>
            <w:tcBorders>
              <w:top w:val="nil"/>
              <w:left w:val="single" w:sz="4" w:space="0" w:color="auto"/>
              <w:bottom w:val="single" w:sz="4" w:space="0" w:color="auto"/>
              <w:right w:val="single" w:sz="4" w:space="0" w:color="auto"/>
            </w:tcBorders>
            <w:shd w:val="clear" w:color="000000" w:fill="FFFFFF"/>
            <w:noWrap/>
            <w:vAlign w:val="bottom"/>
            <w:hideMark/>
          </w:tcPr>
          <w:p w14:paraId="4567FECC"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71 </w:t>
            </w:r>
          </w:p>
        </w:tc>
      </w:tr>
      <w:tr w:rsidR="003F67E7" w:rsidRPr="003F67E7" w14:paraId="7D600493" w14:textId="77777777" w:rsidTr="003F67E7">
        <w:trPr>
          <w:trHeight w:val="255"/>
        </w:trPr>
        <w:tc>
          <w:tcPr>
            <w:tcW w:w="958" w:type="pct"/>
            <w:tcBorders>
              <w:top w:val="nil"/>
              <w:left w:val="single" w:sz="4" w:space="0" w:color="auto"/>
              <w:bottom w:val="single" w:sz="4" w:space="0" w:color="auto"/>
              <w:right w:val="nil"/>
            </w:tcBorders>
            <w:shd w:val="clear" w:color="auto" w:fill="auto"/>
            <w:noWrap/>
            <w:vAlign w:val="bottom"/>
            <w:hideMark/>
          </w:tcPr>
          <w:p w14:paraId="35782CC2"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Витех строй ЕООД</w:t>
            </w:r>
          </w:p>
        </w:tc>
        <w:tc>
          <w:tcPr>
            <w:tcW w:w="742" w:type="pct"/>
            <w:tcBorders>
              <w:top w:val="nil"/>
              <w:left w:val="single" w:sz="4" w:space="0" w:color="auto"/>
              <w:bottom w:val="single" w:sz="4" w:space="0" w:color="auto"/>
              <w:right w:val="nil"/>
            </w:tcBorders>
            <w:shd w:val="clear" w:color="000000" w:fill="FFFFFF"/>
            <w:noWrap/>
            <w:vAlign w:val="bottom"/>
            <w:hideMark/>
          </w:tcPr>
          <w:p w14:paraId="5E59D7D4"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343 </w:t>
            </w:r>
          </w:p>
        </w:tc>
        <w:tc>
          <w:tcPr>
            <w:tcW w:w="688" w:type="pct"/>
            <w:tcBorders>
              <w:top w:val="nil"/>
              <w:left w:val="single" w:sz="4" w:space="0" w:color="auto"/>
              <w:bottom w:val="single" w:sz="4" w:space="0" w:color="auto"/>
              <w:right w:val="nil"/>
            </w:tcBorders>
            <w:shd w:val="clear" w:color="000000" w:fill="FFFFFF"/>
            <w:noWrap/>
            <w:vAlign w:val="bottom"/>
            <w:hideMark/>
          </w:tcPr>
          <w:p w14:paraId="37B9D98D"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57 </w:t>
            </w:r>
          </w:p>
        </w:tc>
        <w:tc>
          <w:tcPr>
            <w:tcW w:w="1100" w:type="pct"/>
            <w:tcBorders>
              <w:top w:val="nil"/>
              <w:left w:val="single" w:sz="4" w:space="0" w:color="auto"/>
              <w:bottom w:val="single" w:sz="4" w:space="0" w:color="auto"/>
              <w:right w:val="nil"/>
            </w:tcBorders>
            <w:shd w:val="clear" w:color="000000" w:fill="FFFFFF"/>
            <w:noWrap/>
            <w:vAlign w:val="bottom"/>
            <w:hideMark/>
          </w:tcPr>
          <w:p w14:paraId="6FDBC186"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w:t>
            </w:r>
          </w:p>
        </w:tc>
        <w:tc>
          <w:tcPr>
            <w:tcW w:w="627" w:type="pct"/>
            <w:tcBorders>
              <w:top w:val="nil"/>
              <w:left w:val="single" w:sz="4" w:space="0" w:color="auto"/>
              <w:bottom w:val="single" w:sz="4" w:space="0" w:color="auto"/>
              <w:right w:val="nil"/>
            </w:tcBorders>
            <w:shd w:val="clear" w:color="000000" w:fill="FFFFFF"/>
            <w:noWrap/>
            <w:vAlign w:val="bottom"/>
            <w:hideMark/>
          </w:tcPr>
          <w:p w14:paraId="5C9C2092" w14:textId="77777777" w:rsidR="003F67E7" w:rsidRPr="003F67E7" w:rsidRDefault="003F67E7" w:rsidP="003F67E7">
            <w:pPr>
              <w:jc w:val="left"/>
              <w:rPr>
                <w:rFonts w:ascii="Arial" w:hAnsi="Arial" w:cs="Arial"/>
                <w:i/>
                <w:iCs/>
                <w:sz w:val="20"/>
                <w:lang w:eastAsia="bg-BG"/>
              </w:rPr>
            </w:pPr>
            <w:r w:rsidRPr="003F67E7">
              <w:rPr>
                <w:rFonts w:ascii="Arial" w:hAnsi="Arial" w:cs="Arial"/>
                <w:i/>
                <w:iCs/>
                <w:sz w:val="20"/>
                <w:lang w:eastAsia="bg-BG"/>
              </w:rPr>
              <w:t> </w:t>
            </w:r>
          </w:p>
        </w:tc>
        <w:tc>
          <w:tcPr>
            <w:tcW w:w="885" w:type="pct"/>
            <w:tcBorders>
              <w:top w:val="nil"/>
              <w:left w:val="single" w:sz="4" w:space="0" w:color="auto"/>
              <w:bottom w:val="single" w:sz="4" w:space="0" w:color="auto"/>
              <w:right w:val="single" w:sz="4" w:space="0" w:color="auto"/>
            </w:tcBorders>
            <w:shd w:val="clear" w:color="000000" w:fill="FFFFFF"/>
            <w:noWrap/>
            <w:vAlign w:val="bottom"/>
            <w:hideMark/>
          </w:tcPr>
          <w:p w14:paraId="6C9A7AA5" w14:textId="77777777" w:rsidR="003F67E7" w:rsidRPr="003F67E7" w:rsidRDefault="003F67E7" w:rsidP="003F67E7">
            <w:pPr>
              <w:jc w:val="left"/>
              <w:rPr>
                <w:rFonts w:ascii="Arial" w:hAnsi="Arial" w:cs="Arial"/>
                <w:sz w:val="20"/>
                <w:lang w:eastAsia="bg-BG"/>
              </w:rPr>
            </w:pPr>
            <w:r w:rsidRPr="003F67E7">
              <w:rPr>
                <w:rFonts w:ascii="Arial" w:hAnsi="Arial" w:cs="Arial"/>
                <w:sz w:val="20"/>
                <w:lang w:eastAsia="bg-BG"/>
              </w:rPr>
              <w:t xml:space="preserve">                               400 </w:t>
            </w:r>
          </w:p>
        </w:tc>
      </w:tr>
      <w:tr w:rsidR="003F67E7" w:rsidRPr="003F67E7" w14:paraId="6E09C1D3" w14:textId="77777777" w:rsidTr="003F67E7">
        <w:trPr>
          <w:trHeight w:val="255"/>
        </w:trPr>
        <w:tc>
          <w:tcPr>
            <w:tcW w:w="958" w:type="pct"/>
            <w:tcBorders>
              <w:top w:val="nil"/>
              <w:left w:val="single" w:sz="4" w:space="0" w:color="auto"/>
              <w:bottom w:val="single" w:sz="4" w:space="0" w:color="auto"/>
              <w:right w:val="nil"/>
            </w:tcBorders>
            <w:shd w:val="clear" w:color="000000" w:fill="00AEEF"/>
            <w:noWrap/>
            <w:vAlign w:val="bottom"/>
            <w:hideMark/>
          </w:tcPr>
          <w:p w14:paraId="679C6653"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Общо</w:t>
            </w:r>
          </w:p>
        </w:tc>
        <w:tc>
          <w:tcPr>
            <w:tcW w:w="742" w:type="pct"/>
            <w:tcBorders>
              <w:top w:val="nil"/>
              <w:left w:val="single" w:sz="4" w:space="0" w:color="auto"/>
              <w:bottom w:val="single" w:sz="4" w:space="0" w:color="auto"/>
              <w:right w:val="nil"/>
            </w:tcBorders>
            <w:shd w:val="clear" w:color="000000" w:fill="00AEEF"/>
            <w:noWrap/>
            <w:vAlign w:val="bottom"/>
            <w:hideMark/>
          </w:tcPr>
          <w:p w14:paraId="760E5FC8"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404 </w:t>
            </w:r>
          </w:p>
        </w:tc>
        <w:tc>
          <w:tcPr>
            <w:tcW w:w="688" w:type="pct"/>
            <w:tcBorders>
              <w:top w:val="nil"/>
              <w:left w:val="single" w:sz="4" w:space="0" w:color="auto"/>
              <w:bottom w:val="single" w:sz="4" w:space="0" w:color="auto"/>
              <w:right w:val="nil"/>
            </w:tcBorders>
            <w:shd w:val="clear" w:color="000000" w:fill="00AEEF"/>
            <w:noWrap/>
            <w:vAlign w:val="bottom"/>
            <w:hideMark/>
          </w:tcPr>
          <w:p w14:paraId="207D6F7F"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67 </w:t>
            </w:r>
          </w:p>
        </w:tc>
        <w:tc>
          <w:tcPr>
            <w:tcW w:w="1100" w:type="pct"/>
            <w:tcBorders>
              <w:top w:val="nil"/>
              <w:left w:val="single" w:sz="4" w:space="0" w:color="auto"/>
              <w:bottom w:val="single" w:sz="4" w:space="0" w:color="auto"/>
              <w:right w:val="nil"/>
            </w:tcBorders>
            <w:shd w:val="clear" w:color="000000" w:fill="00AEEF"/>
            <w:noWrap/>
            <w:vAlign w:val="bottom"/>
            <w:hideMark/>
          </w:tcPr>
          <w:p w14:paraId="072B2E16"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   </w:t>
            </w:r>
          </w:p>
        </w:tc>
        <w:tc>
          <w:tcPr>
            <w:tcW w:w="627" w:type="pct"/>
            <w:tcBorders>
              <w:top w:val="nil"/>
              <w:left w:val="single" w:sz="4" w:space="0" w:color="auto"/>
              <w:bottom w:val="single" w:sz="4" w:space="0" w:color="auto"/>
              <w:right w:val="nil"/>
            </w:tcBorders>
            <w:shd w:val="clear" w:color="000000" w:fill="00AEEF"/>
            <w:noWrap/>
            <w:vAlign w:val="bottom"/>
            <w:hideMark/>
          </w:tcPr>
          <w:p w14:paraId="1E93B864" w14:textId="77777777" w:rsidR="003F67E7" w:rsidRPr="003F67E7" w:rsidRDefault="003F67E7" w:rsidP="003F67E7">
            <w:pPr>
              <w:jc w:val="left"/>
              <w:rPr>
                <w:rFonts w:ascii="Arial" w:hAnsi="Arial" w:cs="Arial"/>
                <w:b/>
                <w:bCs/>
                <w:i/>
                <w:iCs/>
                <w:sz w:val="20"/>
                <w:lang w:eastAsia="bg-BG"/>
              </w:rPr>
            </w:pPr>
            <w:r w:rsidRPr="003F67E7">
              <w:rPr>
                <w:rFonts w:ascii="Arial" w:hAnsi="Arial" w:cs="Arial"/>
                <w:b/>
                <w:bCs/>
                <w:i/>
                <w:iCs/>
                <w:sz w:val="20"/>
                <w:lang w:eastAsia="bg-BG"/>
              </w:rPr>
              <w:t xml:space="preserve">                         -   </w:t>
            </w:r>
          </w:p>
        </w:tc>
        <w:tc>
          <w:tcPr>
            <w:tcW w:w="885" w:type="pct"/>
            <w:tcBorders>
              <w:top w:val="nil"/>
              <w:left w:val="single" w:sz="4" w:space="0" w:color="auto"/>
              <w:bottom w:val="single" w:sz="4" w:space="0" w:color="auto"/>
              <w:right w:val="single" w:sz="4" w:space="0" w:color="auto"/>
            </w:tcBorders>
            <w:shd w:val="clear" w:color="000000" w:fill="00AEEF"/>
            <w:noWrap/>
            <w:vAlign w:val="bottom"/>
            <w:hideMark/>
          </w:tcPr>
          <w:p w14:paraId="2415A939" w14:textId="77777777" w:rsidR="003F67E7" w:rsidRPr="003F67E7" w:rsidRDefault="003F67E7" w:rsidP="003F67E7">
            <w:pPr>
              <w:jc w:val="left"/>
              <w:rPr>
                <w:rFonts w:ascii="Arial" w:hAnsi="Arial" w:cs="Arial"/>
                <w:b/>
                <w:bCs/>
                <w:sz w:val="20"/>
                <w:lang w:eastAsia="bg-BG"/>
              </w:rPr>
            </w:pPr>
            <w:r w:rsidRPr="003F67E7">
              <w:rPr>
                <w:rFonts w:ascii="Arial" w:hAnsi="Arial" w:cs="Arial"/>
                <w:b/>
                <w:bCs/>
                <w:sz w:val="20"/>
                <w:lang w:eastAsia="bg-BG"/>
              </w:rPr>
              <w:t xml:space="preserve">                               471 </w:t>
            </w:r>
          </w:p>
        </w:tc>
      </w:tr>
    </w:tbl>
    <w:p w14:paraId="547C3D88" w14:textId="77777777" w:rsidR="007E1002" w:rsidRDefault="007E1002" w:rsidP="00BD4996">
      <w:pPr>
        <w:rPr>
          <w:rFonts w:ascii="Arial" w:hAnsi="Arial" w:cs="Arial"/>
          <w:sz w:val="18"/>
          <w:szCs w:val="18"/>
        </w:rPr>
      </w:pPr>
    </w:p>
    <w:p w14:paraId="78991E5F" w14:textId="77777777" w:rsidR="007E1002" w:rsidRDefault="007E1002" w:rsidP="00BD4996">
      <w:pPr>
        <w:rPr>
          <w:rFonts w:ascii="Arial" w:hAnsi="Arial" w:cs="Arial"/>
          <w:sz w:val="18"/>
          <w:szCs w:val="18"/>
        </w:rPr>
      </w:pPr>
    </w:p>
    <w:p w14:paraId="580EC982" w14:textId="4A556874" w:rsidR="00CA29CF" w:rsidRDefault="00CA29CF" w:rsidP="003A1B5D">
      <w:pPr>
        <w:rPr>
          <w:rFonts w:ascii="Arial" w:hAnsi="Arial" w:cs="Arial"/>
          <w:sz w:val="18"/>
          <w:szCs w:val="18"/>
        </w:rPr>
      </w:pPr>
    </w:p>
    <w:p w14:paraId="4994F704" w14:textId="77777777" w:rsidR="00CA29CF" w:rsidRDefault="00CA29CF" w:rsidP="003A1B5D">
      <w:pPr>
        <w:rPr>
          <w:rFonts w:ascii="Arial" w:hAnsi="Arial" w:cs="Arial"/>
          <w:sz w:val="18"/>
          <w:szCs w:val="18"/>
        </w:rPr>
      </w:pPr>
    </w:p>
    <w:tbl>
      <w:tblPr>
        <w:tblW w:w="5083" w:type="pct"/>
        <w:tblCellMar>
          <w:left w:w="70" w:type="dxa"/>
          <w:right w:w="70" w:type="dxa"/>
        </w:tblCellMar>
        <w:tblLook w:val="04A0" w:firstRow="1" w:lastRow="0" w:firstColumn="1" w:lastColumn="0" w:noHBand="0" w:noVBand="1"/>
      </w:tblPr>
      <w:tblGrid>
        <w:gridCol w:w="4070"/>
        <w:gridCol w:w="2848"/>
        <w:gridCol w:w="2688"/>
        <w:gridCol w:w="160"/>
      </w:tblGrid>
      <w:tr w:rsidR="00F422BC" w:rsidRPr="00F422BC" w14:paraId="3DED86EB" w14:textId="77777777" w:rsidTr="00CA29CF">
        <w:trPr>
          <w:gridAfter w:val="1"/>
          <w:wAfter w:w="82" w:type="pct"/>
          <w:trHeight w:val="433"/>
        </w:trPr>
        <w:tc>
          <w:tcPr>
            <w:tcW w:w="491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F0640B7" w14:textId="2AB67C30"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Салда на главници по заеми, получени от свързани лица в групата </w:t>
            </w:r>
            <w:r w:rsidR="00D6778B">
              <w:rPr>
                <w:rFonts w:ascii="Arial" w:hAnsi="Arial" w:cs="Arial"/>
                <w:b/>
                <w:bCs/>
                <w:sz w:val="20"/>
                <w:lang w:eastAsia="bg-BG"/>
              </w:rPr>
              <w:t>–</w:t>
            </w:r>
            <w:r w:rsidRPr="00F422BC">
              <w:rPr>
                <w:rFonts w:ascii="Arial" w:hAnsi="Arial" w:cs="Arial"/>
                <w:b/>
                <w:bCs/>
                <w:sz w:val="20"/>
                <w:lang w:eastAsia="bg-BG"/>
              </w:rPr>
              <w:t xml:space="preserve"> </w:t>
            </w:r>
            <w:r w:rsidR="003F67E7">
              <w:rPr>
                <w:rFonts w:ascii="Arial" w:hAnsi="Arial" w:cs="Arial"/>
                <w:b/>
                <w:bCs/>
                <w:sz w:val="20"/>
                <w:lang w:eastAsia="bg-BG"/>
              </w:rPr>
              <w:t>30.06</w:t>
            </w:r>
            <w:r w:rsidR="007E1002">
              <w:rPr>
                <w:rFonts w:ascii="Arial" w:hAnsi="Arial" w:cs="Arial"/>
                <w:b/>
                <w:bCs/>
                <w:sz w:val="20"/>
                <w:lang w:eastAsia="bg-BG"/>
              </w:rPr>
              <w:t>.2024</w:t>
            </w:r>
            <w:r w:rsidR="00D6778B">
              <w:rPr>
                <w:rFonts w:ascii="Arial" w:hAnsi="Arial" w:cs="Arial"/>
                <w:b/>
                <w:bCs/>
                <w:sz w:val="20"/>
                <w:lang w:eastAsia="bg-BG"/>
              </w:rPr>
              <w:t>г.</w:t>
            </w:r>
          </w:p>
        </w:tc>
      </w:tr>
      <w:tr w:rsidR="00F422BC" w:rsidRPr="00F422BC" w14:paraId="44B96CD3" w14:textId="77777777" w:rsidTr="00CA29CF">
        <w:trPr>
          <w:trHeight w:val="58"/>
        </w:trPr>
        <w:tc>
          <w:tcPr>
            <w:tcW w:w="4918" w:type="pct"/>
            <w:gridSpan w:val="3"/>
            <w:vMerge/>
            <w:tcBorders>
              <w:top w:val="single" w:sz="4" w:space="0" w:color="auto"/>
              <w:left w:val="single" w:sz="4" w:space="0" w:color="auto"/>
              <w:bottom w:val="single" w:sz="4" w:space="0" w:color="000000"/>
              <w:right w:val="single" w:sz="4" w:space="0" w:color="000000"/>
            </w:tcBorders>
            <w:vAlign w:val="center"/>
            <w:hideMark/>
          </w:tcPr>
          <w:p w14:paraId="5C5DC86D" w14:textId="77777777" w:rsidR="00F422BC" w:rsidRPr="00F422BC" w:rsidRDefault="00F422BC" w:rsidP="00F422BC">
            <w:pPr>
              <w:jc w:val="left"/>
              <w:rPr>
                <w:rFonts w:ascii="Arial" w:hAnsi="Arial" w:cs="Arial"/>
                <w:b/>
                <w:bCs/>
                <w:sz w:val="20"/>
                <w:lang w:eastAsia="bg-BG"/>
              </w:rPr>
            </w:pPr>
          </w:p>
        </w:tc>
        <w:tc>
          <w:tcPr>
            <w:tcW w:w="82" w:type="pct"/>
            <w:tcBorders>
              <w:top w:val="nil"/>
              <w:left w:val="nil"/>
              <w:bottom w:val="nil"/>
              <w:right w:val="nil"/>
            </w:tcBorders>
            <w:shd w:val="clear" w:color="auto" w:fill="auto"/>
            <w:noWrap/>
            <w:vAlign w:val="bottom"/>
            <w:hideMark/>
          </w:tcPr>
          <w:p w14:paraId="14DEDC63" w14:textId="77777777" w:rsidR="00F422BC" w:rsidRPr="00F422BC" w:rsidRDefault="00F422BC" w:rsidP="00F422BC">
            <w:pPr>
              <w:jc w:val="left"/>
              <w:rPr>
                <w:rFonts w:ascii="Arial" w:hAnsi="Arial" w:cs="Arial"/>
                <w:b/>
                <w:bCs/>
                <w:sz w:val="20"/>
                <w:lang w:eastAsia="bg-BG"/>
              </w:rPr>
            </w:pPr>
          </w:p>
        </w:tc>
      </w:tr>
      <w:tr w:rsidR="00F422BC" w:rsidRPr="00F422BC" w14:paraId="2D2AB362" w14:textId="77777777" w:rsidTr="00CA29CF">
        <w:trPr>
          <w:trHeight w:val="255"/>
        </w:trPr>
        <w:tc>
          <w:tcPr>
            <w:tcW w:w="20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890B099"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Кредитор</w:t>
            </w:r>
          </w:p>
        </w:tc>
        <w:tc>
          <w:tcPr>
            <w:tcW w:w="1458" w:type="pct"/>
            <w:vMerge w:val="restart"/>
            <w:tcBorders>
              <w:top w:val="nil"/>
              <w:left w:val="single" w:sz="4" w:space="0" w:color="auto"/>
              <w:bottom w:val="single" w:sz="4" w:space="0" w:color="000000"/>
              <w:right w:val="nil"/>
            </w:tcBorders>
            <w:shd w:val="clear" w:color="000000" w:fill="FFFFFF"/>
            <w:vAlign w:val="center"/>
            <w:hideMark/>
          </w:tcPr>
          <w:p w14:paraId="01D39E2D" w14:textId="77777777" w:rsidR="00F422BC" w:rsidRPr="00F422BC" w:rsidRDefault="00F422BC" w:rsidP="00F422BC">
            <w:pPr>
              <w:jc w:val="center"/>
              <w:rPr>
                <w:rFonts w:ascii="Arial" w:hAnsi="Arial" w:cs="Arial"/>
                <w:b/>
                <w:bCs/>
                <w:sz w:val="20"/>
                <w:lang w:eastAsia="bg-BG"/>
              </w:rPr>
            </w:pPr>
            <w:r w:rsidRPr="00F422BC">
              <w:rPr>
                <w:rFonts w:ascii="Arial" w:hAnsi="Arial" w:cs="Arial"/>
                <w:b/>
                <w:bCs/>
                <w:sz w:val="20"/>
                <w:lang w:eastAsia="bg-BG"/>
              </w:rPr>
              <w:t>Задължения</w:t>
            </w:r>
            <w:r w:rsidRPr="00F422BC">
              <w:rPr>
                <w:rFonts w:ascii="Arial" w:hAnsi="Arial" w:cs="Arial"/>
                <w:b/>
                <w:bCs/>
                <w:sz w:val="20"/>
                <w:lang w:eastAsia="bg-BG"/>
              </w:rPr>
              <w:br/>
              <w:t xml:space="preserve"> до 1 година</w:t>
            </w:r>
          </w:p>
        </w:tc>
        <w:tc>
          <w:tcPr>
            <w:tcW w:w="137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E67C77E" w14:textId="77777777" w:rsidR="00F422BC" w:rsidRPr="00F422BC" w:rsidRDefault="00F422BC" w:rsidP="00F422BC">
            <w:pPr>
              <w:jc w:val="center"/>
              <w:rPr>
                <w:rFonts w:ascii="Arial" w:hAnsi="Arial" w:cs="Arial"/>
                <w:b/>
                <w:bCs/>
                <w:sz w:val="20"/>
                <w:lang w:eastAsia="bg-BG"/>
              </w:rPr>
            </w:pPr>
            <w:r w:rsidRPr="00F422BC">
              <w:rPr>
                <w:rFonts w:ascii="Arial" w:hAnsi="Arial" w:cs="Arial"/>
                <w:b/>
                <w:bCs/>
                <w:sz w:val="20"/>
                <w:lang w:eastAsia="bg-BG"/>
              </w:rPr>
              <w:t>Задължения</w:t>
            </w:r>
            <w:r w:rsidRPr="00F422BC">
              <w:rPr>
                <w:rFonts w:ascii="Arial" w:hAnsi="Arial" w:cs="Arial"/>
                <w:b/>
                <w:bCs/>
                <w:sz w:val="20"/>
                <w:lang w:eastAsia="bg-BG"/>
              </w:rPr>
              <w:br/>
              <w:t xml:space="preserve"> над 1 година</w:t>
            </w:r>
          </w:p>
        </w:tc>
        <w:tc>
          <w:tcPr>
            <w:tcW w:w="82" w:type="pct"/>
            <w:vAlign w:val="center"/>
            <w:hideMark/>
          </w:tcPr>
          <w:p w14:paraId="5E5CE785" w14:textId="77777777" w:rsidR="00F422BC" w:rsidRPr="00F422BC" w:rsidRDefault="00F422BC" w:rsidP="00F422BC">
            <w:pPr>
              <w:jc w:val="left"/>
              <w:rPr>
                <w:sz w:val="20"/>
                <w:lang w:eastAsia="bg-BG"/>
              </w:rPr>
            </w:pPr>
          </w:p>
        </w:tc>
      </w:tr>
      <w:tr w:rsidR="00F422BC" w:rsidRPr="00F422BC" w14:paraId="4FD7F9C1" w14:textId="77777777" w:rsidTr="00CA29CF">
        <w:trPr>
          <w:trHeight w:val="255"/>
        </w:trPr>
        <w:tc>
          <w:tcPr>
            <w:tcW w:w="2084" w:type="pct"/>
            <w:vMerge/>
            <w:tcBorders>
              <w:top w:val="nil"/>
              <w:left w:val="single" w:sz="4" w:space="0" w:color="auto"/>
              <w:bottom w:val="single" w:sz="4" w:space="0" w:color="000000"/>
              <w:right w:val="single" w:sz="4" w:space="0" w:color="auto"/>
            </w:tcBorders>
            <w:vAlign w:val="center"/>
            <w:hideMark/>
          </w:tcPr>
          <w:p w14:paraId="5A3076D0" w14:textId="77777777" w:rsidR="00F422BC" w:rsidRPr="00F422BC" w:rsidRDefault="00F422BC" w:rsidP="00F422BC">
            <w:pPr>
              <w:jc w:val="left"/>
              <w:rPr>
                <w:rFonts w:ascii="Arial" w:hAnsi="Arial" w:cs="Arial"/>
                <w:b/>
                <w:bCs/>
                <w:sz w:val="20"/>
                <w:lang w:eastAsia="bg-BG"/>
              </w:rPr>
            </w:pPr>
          </w:p>
        </w:tc>
        <w:tc>
          <w:tcPr>
            <w:tcW w:w="1458" w:type="pct"/>
            <w:vMerge/>
            <w:tcBorders>
              <w:top w:val="nil"/>
              <w:left w:val="single" w:sz="4" w:space="0" w:color="auto"/>
              <w:bottom w:val="single" w:sz="4" w:space="0" w:color="000000"/>
              <w:right w:val="nil"/>
            </w:tcBorders>
            <w:vAlign w:val="center"/>
            <w:hideMark/>
          </w:tcPr>
          <w:p w14:paraId="104AFCF5" w14:textId="77777777" w:rsidR="00F422BC" w:rsidRPr="00F422BC" w:rsidRDefault="00F422BC" w:rsidP="00F422BC">
            <w:pPr>
              <w:jc w:val="left"/>
              <w:rPr>
                <w:rFonts w:ascii="Arial" w:hAnsi="Arial" w:cs="Arial"/>
                <w:b/>
                <w:bCs/>
                <w:sz w:val="20"/>
                <w:lang w:eastAsia="bg-BG"/>
              </w:rPr>
            </w:pPr>
          </w:p>
        </w:tc>
        <w:tc>
          <w:tcPr>
            <w:tcW w:w="1376" w:type="pct"/>
            <w:vMerge/>
            <w:tcBorders>
              <w:top w:val="nil"/>
              <w:left w:val="single" w:sz="4" w:space="0" w:color="auto"/>
              <w:bottom w:val="single" w:sz="4" w:space="0" w:color="000000"/>
              <w:right w:val="single" w:sz="4" w:space="0" w:color="auto"/>
            </w:tcBorders>
            <w:vAlign w:val="center"/>
            <w:hideMark/>
          </w:tcPr>
          <w:p w14:paraId="27D6EBFE" w14:textId="77777777" w:rsidR="00F422BC" w:rsidRPr="00F422BC" w:rsidRDefault="00F422BC" w:rsidP="00F422BC">
            <w:pPr>
              <w:jc w:val="left"/>
              <w:rPr>
                <w:rFonts w:ascii="Arial" w:hAnsi="Arial" w:cs="Arial"/>
                <w:b/>
                <w:bCs/>
                <w:sz w:val="20"/>
                <w:lang w:eastAsia="bg-BG"/>
              </w:rPr>
            </w:pPr>
          </w:p>
        </w:tc>
        <w:tc>
          <w:tcPr>
            <w:tcW w:w="82" w:type="pct"/>
            <w:tcBorders>
              <w:top w:val="nil"/>
              <w:left w:val="nil"/>
              <w:bottom w:val="nil"/>
              <w:right w:val="nil"/>
            </w:tcBorders>
            <w:shd w:val="clear" w:color="auto" w:fill="auto"/>
            <w:noWrap/>
            <w:vAlign w:val="bottom"/>
            <w:hideMark/>
          </w:tcPr>
          <w:p w14:paraId="7B283075" w14:textId="77777777" w:rsidR="00F422BC" w:rsidRPr="00F422BC" w:rsidRDefault="00F422BC" w:rsidP="00F422BC">
            <w:pPr>
              <w:jc w:val="center"/>
              <w:rPr>
                <w:rFonts w:ascii="Arial" w:hAnsi="Arial" w:cs="Arial"/>
                <w:b/>
                <w:bCs/>
                <w:sz w:val="20"/>
                <w:lang w:eastAsia="bg-BG"/>
              </w:rPr>
            </w:pPr>
          </w:p>
        </w:tc>
      </w:tr>
      <w:tr w:rsidR="00F422BC" w:rsidRPr="00F422BC" w14:paraId="5F30A0A1" w14:textId="77777777" w:rsidTr="00CA29CF">
        <w:trPr>
          <w:trHeight w:val="264"/>
        </w:trPr>
        <w:tc>
          <w:tcPr>
            <w:tcW w:w="2084" w:type="pct"/>
            <w:tcBorders>
              <w:top w:val="nil"/>
              <w:left w:val="single" w:sz="4" w:space="0" w:color="auto"/>
              <w:bottom w:val="single" w:sz="4" w:space="0" w:color="auto"/>
              <w:right w:val="nil"/>
            </w:tcBorders>
            <w:shd w:val="clear" w:color="auto" w:fill="auto"/>
            <w:noWrap/>
            <w:vAlign w:val="bottom"/>
            <w:hideMark/>
          </w:tcPr>
          <w:p w14:paraId="2B9547B1" w14:textId="7777777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Инфра Билдинг ЕООД</w:t>
            </w:r>
          </w:p>
        </w:tc>
        <w:tc>
          <w:tcPr>
            <w:tcW w:w="1458" w:type="pct"/>
            <w:tcBorders>
              <w:top w:val="nil"/>
              <w:left w:val="single" w:sz="4" w:space="0" w:color="auto"/>
              <w:bottom w:val="single" w:sz="4" w:space="0" w:color="auto"/>
              <w:right w:val="nil"/>
            </w:tcBorders>
            <w:shd w:val="clear" w:color="000000" w:fill="FFFFFF"/>
            <w:noWrap/>
            <w:vAlign w:val="bottom"/>
            <w:hideMark/>
          </w:tcPr>
          <w:p w14:paraId="18EC1E54" w14:textId="3B6E7442"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w:t>
            </w:r>
            <w:r w:rsidR="003F67E7">
              <w:rPr>
                <w:rFonts w:ascii="Arial" w:hAnsi="Arial" w:cs="Arial"/>
                <w:sz w:val="20"/>
                <w:lang w:eastAsia="bg-BG"/>
              </w:rPr>
              <w:t xml:space="preserve">      15</w:t>
            </w:r>
            <w:r w:rsidRPr="00F422BC">
              <w:rPr>
                <w:rFonts w:ascii="Arial" w:hAnsi="Arial" w:cs="Arial"/>
                <w:sz w:val="20"/>
                <w:lang w:eastAsia="bg-BG"/>
              </w:rPr>
              <w:t xml:space="preserve"> </w:t>
            </w:r>
          </w:p>
        </w:tc>
        <w:tc>
          <w:tcPr>
            <w:tcW w:w="1376" w:type="pct"/>
            <w:tcBorders>
              <w:top w:val="nil"/>
              <w:left w:val="single" w:sz="4" w:space="0" w:color="auto"/>
              <w:bottom w:val="single" w:sz="4" w:space="0" w:color="auto"/>
              <w:right w:val="single" w:sz="4" w:space="0" w:color="auto"/>
            </w:tcBorders>
            <w:shd w:val="clear" w:color="000000" w:fill="FFFFFF"/>
            <w:noWrap/>
            <w:vAlign w:val="bottom"/>
            <w:hideMark/>
          </w:tcPr>
          <w:p w14:paraId="35544BDE" w14:textId="7777777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w:t>
            </w:r>
          </w:p>
        </w:tc>
        <w:tc>
          <w:tcPr>
            <w:tcW w:w="82" w:type="pct"/>
            <w:vAlign w:val="center"/>
            <w:hideMark/>
          </w:tcPr>
          <w:p w14:paraId="7DEF44D5" w14:textId="77777777" w:rsidR="00F422BC" w:rsidRPr="00F422BC" w:rsidRDefault="00F422BC" w:rsidP="00F422BC">
            <w:pPr>
              <w:jc w:val="left"/>
              <w:rPr>
                <w:sz w:val="20"/>
                <w:lang w:eastAsia="bg-BG"/>
              </w:rPr>
            </w:pPr>
          </w:p>
        </w:tc>
      </w:tr>
      <w:tr w:rsidR="00F422BC" w:rsidRPr="00F422BC" w14:paraId="7B127DDF" w14:textId="77777777" w:rsidTr="00CA29CF">
        <w:trPr>
          <w:trHeight w:val="264"/>
        </w:trPr>
        <w:tc>
          <w:tcPr>
            <w:tcW w:w="2084" w:type="pct"/>
            <w:tcBorders>
              <w:top w:val="nil"/>
              <w:left w:val="single" w:sz="4" w:space="0" w:color="auto"/>
              <w:bottom w:val="single" w:sz="4" w:space="0" w:color="auto"/>
              <w:right w:val="single" w:sz="4" w:space="0" w:color="auto"/>
            </w:tcBorders>
            <w:shd w:val="clear" w:color="000000" w:fill="00AEEF"/>
            <w:vAlign w:val="bottom"/>
            <w:hideMark/>
          </w:tcPr>
          <w:p w14:paraId="678F2710"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Общо</w:t>
            </w:r>
          </w:p>
        </w:tc>
        <w:tc>
          <w:tcPr>
            <w:tcW w:w="1458" w:type="pct"/>
            <w:tcBorders>
              <w:top w:val="nil"/>
              <w:left w:val="nil"/>
              <w:bottom w:val="single" w:sz="4" w:space="0" w:color="auto"/>
              <w:right w:val="nil"/>
            </w:tcBorders>
            <w:shd w:val="clear" w:color="000000" w:fill="00AEEF"/>
            <w:noWrap/>
            <w:vAlign w:val="bottom"/>
            <w:hideMark/>
          </w:tcPr>
          <w:p w14:paraId="79DA8433" w14:textId="4FABFE36" w:rsidR="00F422BC" w:rsidRPr="00F422BC" w:rsidRDefault="003F67E7" w:rsidP="00F422BC">
            <w:pPr>
              <w:jc w:val="left"/>
              <w:rPr>
                <w:rFonts w:ascii="Arial" w:hAnsi="Arial" w:cs="Arial"/>
                <w:b/>
                <w:bCs/>
                <w:sz w:val="20"/>
                <w:lang w:eastAsia="bg-BG"/>
              </w:rPr>
            </w:pPr>
            <w:r>
              <w:rPr>
                <w:rFonts w:ascii="Arial" w:hAnsi="Arial" w:cs="Arial"/>
                <w:b/>
                <w:bCs/>
                <w:sz w:val="20"/>
                <w:lang w:eastAsia="bg-BG"/>
              </w:rPr>
              <w:t xml:space="preserve">                           15</w:t>
            </w:r>
            <w:r w:rsidR="00F422BC" w:rsidRPr="00F422BC">
              <w:rPr>
                <w:rFonts w:ascii="Arial" w:hAnsi="Arial" w:cs="Arial"/>
                <w:b/>
                <w:bCs/>
                <w:sz w:val="20"/>
                <w:lang w:eastAsia="bg-BG"/>
              </w:rPr>
              <w:t xml:space="preserve"> </w:t>
            </w:r>
          </w:p>
        </w:tc>
        <w:tc>
          <w:tcPr>
            <w:tcW w:w="1376" w:type="pct"/>
            <w:tcBorders>
              <w:top w:val="nil"/>
              <w:left w:val="single" w:sz="4" w:space="0" w:color="auto"/>
              <w:bottom w:val="single" w:sz="4" w:space="0" w:color="auto"/>
              <w:right w:val="single" w:sz="4" w:space="0" w:color="auto"/>
            </w:tcBorders>
            <w:shd w:val="clear" w:color="000000" w:fill="00AEEF"/>
            <w:noWrap/>
            <w:vAlign w:val="bottom"/>
            <w:hideMark/>
          </w:tcPr>
          <w:p w14:paraId="4F0E8E3D"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   </w:t>
            </w:r>
          </w:p>
        </w:tc>
        <w:tc>
          <w:tcPr>
            <w:tcW w:w="82" w:type="pct"/>
            <w:vAlign w:val="center"/>
            <w:hideMark/>
          </w:tcPr>
          <w:p w14:paraId="7C73A1C8" w14:textId="77777777" w:rsidR="00F422BC" w:rsidRPr="00F422BC" w:rsidRDefault="00F422BC" w:rsidP="00F422BC">
            <w:pPr>
              <w:jc w:val="left"/>
              <w:rPr>
                <w:sz w:val="20"/>
                <w:lang w:eastAsia="bg-BG"/>
              </w:rPr>
            </w:pPr>
          </w:p>
        </w:tc>
      </w:tr>
    </w:tbl>
    <w:p w14:paraId="71AE6D45" w14:textId="77777777" w:rsidR="00614ED5" w:rsidRPr="00B14C47" w:rsidRDefault="00614ED5" w:rsidP="003A1B5D">
      <w:pPr>
        <w:rPr>
          <w:rFonts w:ascii="Arial" w:hAnsi="Arial" w:cs="Arial"/>
          <w:sz w:val="18"/>
          <w:szCs w:val="18"/>
        </w:rPr>
      </w:pPr>
    </w:p>
    <w:p w14:paraId="77FAE4CB" w14:textId="77777777" w:rsidR="00606E15" w:rsidRPr="00B14C47" w:rsidRDefault="00606E15" w:rsidP="003A1B5D">
      <w:pPr>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2590"/>
        <w:gridCol w:w="1817"/>
        <w:gridCol w:w="1688"/>
        <w:gridCol w:w="1724"/>
        <w:gridCol w:w="1788"/>
      </w:tblGrid>
      <w:tr w:rsidR="00F422BC" w:rsidRPr="00F422BC" w14:paraId="02B97760" w14:textId="77777777" w:rsidTr="00CA29CF">
        <w:trPr>
          <w:trHeight w:val="264"/>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091D65" w14:textId="2DB3E691" w:rsidR="00F422BC" w:rsidRPr="00F422BC" w:rsidRDefault="00F422BC" w:rsidP="007E1002">
            <w:pPr>
              <w:jc w:val="left"/>
              <w:rPr>
                <w:rFonts w:ascii="Arial" w:hAnsi="Arial" w:cs="Arial"/>
                <w:b/>
                <w:bCs/>
                <w:sz w:val="20"/>
                <w:lang w:eastAsia="bg-BG"/>
              </w:rPr>
            </w:pPr>
            <w:r w:rsidRPr="00F422BC">
              <w:rPr>
                <w:rFonts w:ascii="Arial" w:hAnsi="Arial" w:cs="Arial"/>
                <w:b/>
                <w:bCs/>
                <w:sz w:val="20"/>
                <w:lang w:eastAsia="bg-BG"/>
              </w:rPr>
              <w:t>Начислени разходи лихви и задължения за лихви по заеми, получени от свързани лица в групата</w:t>
            </w:r>
            <w:r w:rsidR="0067669F">
              <w:rPr>
                <w:rFonts w:ascii="Arial" w:hAnsi="Arial" w:cs="Arial"/>
                <w:b/>
                <w:bCs/>
                <w:sz w:val="20"/>
                <w:lang w:eastAsia="bg-BG"/>
              </w:rPr>
              <w:t xml:space="preserve"> към 30.06</w:t>
            </w:r>
            <w:r w:rsidR="007E1002">
              <w:rPr>
                <w:rFonts w:ascii="Arial" w:hAnsi="Arial" w:cs="Arial"/>
                <w:b/>
                <w:bCs/>
                <w:sz w:val="20"/>
                <w:lang w:eastAsia="bg-BG"/>
              </w:rPr>
              <w:t>.2024г</w:t>
            </w:r>
          </w:p>
        </w:tc>
      </w:tr>
      <w:tr w:rsidR="00F422BC" w:rsidRPr="00F422BC" w14:paraId="0249E396" w14:textId="77777777" w:rsidTr="007E1002">
        <w:trPr>
          <w:trHeight w:val="264"/>
        </w:trPr>
        <w:tc>
          <w:tcPr>
            <w:tcW w:w="135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0253C86"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Кредитор</w:t>
            </w:r>
          </w:p>
        </w:tc>
        <w:tc>
          <w:tcPr>
            <w:tcW w:w="945" w:type="pct"/>
            <w:tcBorders>
              <w:top w:val="nil"/>
              <w:left w:val="nil"/>
              <w:bottom w:val="nil"/>
              <w:right w:val="nil"/>
            </w:tcBorders>
            <w:shd w:val="clear" w:color="000000" w:fill="FFFFFF"/>
            <w:noWrap/>
            <w:vAlign w:val="bottom"/>
            <w:hideMark/>
          </w:tcPr>
          <w:p w14:paraId="4F8F9F52"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Задължение към</w:t>
            </w:r>
          </w:p>
        </w:tc>
        <w:tc>
          <w:tcPr>
            <w:tcW w:w="877" w:type="pct"/>
            <w:tcBorders>
              <w:top w:val="nil"/>
              <w:left w:val="single" w:sz="4" w:space="0" w:color="auto"/>
              <w:bottom w:val="nil"/>
              <w:right w:val="nil"/>
            </w:tcBorders>
            <w:shd w:val="clear" w:color="000000" w:fill="FFFFFF"/>
            <w:noWrap/>
            <w:vAlign w:val="bottom"/>
            <w:hideMark/>
          </w:tcPr>
          <w:p w14:paraId="53DFF7F0"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Начислени през</w:t>
            </w:r>
          </w:p>
        </w:tc>
        <w:tc>
          <w:tcPr>
            <w:tcW w:w="896" w:type="pct"/>
            <w:tcBorders>
              <w:top w:val="nil"/>
              <w:left w:val="single" w:sz="4" w:space="0" w:color="auto"/>
              <w:bottom w:val="nil"/>
              <w:right w:val="nil"/>
            </w:tcBorders>
            <w:shd w:val="clear" w:color="000000" w:fill="FFFFFF"/>
            <w:noWrap/>
            <w:vAlign w:val="bottom"/>
            <w:hideMark/>
          </w:tcPr>
          <w:p w14:paraId="52378249"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Платени през</w:t>
            </w:r>
          </w:p>
        </w:tc>
        <w:tc>
          <w:tcPr>
            <w:tcW w:w="929" w:type="pct"/>
            <w:tcBorders>
              <w:top w:val="nil"/>
              <w:left w:val="single" w:sz="4" w:space="0" w:color="auto"/>
              <w:bottom w:val="nil"/>
              <w:right w:val="single" w:sz="4" w:space="0" w:color="auto"/>
            </w:tcBorders>
            <w:shd w:val="clear" w:color="000000" w:fill="FFFFFF"/>
            <w:noWrap/>
            <w:vAlign w:val="bottom"/>
            <w:hideMark/>
          </w:tcPr>
          <w:p w14:paraId="368E0B07"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Задължение към</w:t>
            </w:r>
          </w:p>
        </w:tc>
      </w:tr>
      <w:tr w:rsidR="00F422BC" w:rsidRPr="00F422BC" w14:paraId="1DEBF91A" w14:textId="77777777" w:rsidTr="007E1002">
        <w:trPr>
          <w:trHeight w:val="264"/>
        </w:trPr>
        <w:tc>
          <w:tcPr>
            <w:tcW w:w="1352" w:type="pct"/>
            <w:vMerge/>
            <w:tcBorders>
              <w:top w:val="nil"/>
              <w:left w:val="single" w:sz="4" w:space="0" w:color="auto"/>
              <w:bottom w:val="single" w:sz="4" w:space="0" w:color="000000"/>
              <w:right w:val="single" w:sz="4" w:space="0" w:color="auto"/>
            </w:tcBorders>
            <w:vAlign w:val="center"/>
            <w:hideMark/>
          </w:tcPr>
          <w:p w14:paraId="67ACB560" w14:textId="77777777" w:rsidR="00F422BC" w:rsidRPr="00F422BC" w:rsidRDefault="00F422BC" w:rsidP="00F422BC">
            <w:pPr>
              <w:jc w:val="left"/>
              <w:rPr>
                <w:rFonts w:ascii="Arial" w:hAnsi="Arial" w:cs="Arial"/>
                <w:b/>
                <w:bCs/>
                <w:sz w:val="20"/>
                <w:lang w:eastAsia="bg-BG"/>
              </w:rPr>
            </w:pPr>
          </w:p>
        </w:tc>
        <w:tc>
          <w:tcPr>
            <w:tcW w:w="945" w:type="pct"/>
            <w:tcBorders>
              <w:top w:val="nil"/>
              <w:left w:val="nil"/>
              <w:bottom w:val="single" w:sz="4" w:space="0" w:color="auto"/>
              <w:right w:val="nil"/>
            </w:tcBorders>
            <w:shd w:val="clear" w:color="000000" w:fill="FFFFFF"/>
            <w:noWrap/>
            <w:vAlign w:val="bottom"/>
            <w:hideMark/>
          </w:tcPr>
          <w:p w14:paraId="67B71372" w14:textId="1595700D" w:rsidR="00F422BC" w:rsidRPr="00F422BC" w:rsidRDefault="007E1002" w:rsidP="00F422BC">
            <w:pPr>
              <w:jc w:val="right"/>
              <w:rPr>
                <w:rFonts w:ascii="Arial" w:hAnsi="Arial" w:cs="Arial"/>
                <w:b/>
                <w:bCs/>
                <w:sz w:val="20"/>
                <w:lang w:eastAsia="bg-BG"/>
              </w:rPr>
            </w:pPr>
            <w:r>
              <w:rPr>
                <w:rFonts w:ascii="Arial" w:hAnsi="Arial" w:cs="Arial"/>
                <w:b/>
                <w:bCs/>
                <w:sz w:val="20"/>
                <w:lang w:eastAsia="bg-BG"/>
              </w:rPr>
              <w:t>31.12.2023</w:t>
            </w:r>
          </w:p>
        </w:tc>
        <w:tc>
          <w:tcPr>
            <w:tcW w:w="877" w:type="pct"/>
            <w:tcBorders>
              <w:top w:val="nil"/>
              <w:left w:val="single" w:sz="4" w:space="0" w:color="auto"/>
              <w:bottom w:val="single" w:sz="4" w:space="0" w:color="auto"/>
              <w:right w:val="nil"/>
            </w:tcBorders>
            <w:shd w:val="clear" w:color="000000" w:fill="FFFFFF"/>
            <w:noWrap/>
            <w:vAlign w:val="bottom"/>
            <w:hideMark/>
          </w:tcPr>
          <w:p w14:paraId="7571D8A6" w14:textId="387B5016" w:rsidR="00F422BC" w:rsidRPr="00F422BC" w:rsidRDefault="007E1002" w:rsidP="00F422BC">
            <w:pPr>
              <w:jc w:val="left"/>
              <w:rPr>
                <w:rFonts w:ascii="Arial" w:hAnsi="Arial" w:cs="Arial"/>
                <w:b/>
                <w:bCs/>
                <w:sz w:val="20"/>
                <w:lang w:eastAsia="bg-BG"/>
              </w:rPr>
            </w:pPr>
            <w:r>
              <w:rPr>
                <w:rFonts w:ascii="Arial" w:hAnsi="Arial" w:cs="Arial"/>
                <w:b/>
                <w:bCs/>
                <w:sz w:val="20"/>
                <w:lang w:eastAsia="bg-BG"/>
              </w:rPr>
              <w:t>2024</w:t>
            </w:r>
          </w:p>
        </w:tc>
        <w:tc>
          <w:tcPr>
            <w:tcW w:w="896" w:type="pct"/>
            <w:tcBorders>
              <w:top w:val="nil"/>
              <w:left w:val="single" w:sz="4" w:space="0" w:color="auto"/>
              <w:bottom w:val="single" w:sz="4" w:space="0" w:color="auto"/>
              <w:right w:val="nil"/>
            </w:tcBorders>
            <w:shd w:val="clear" w:color="000000" w:fill="FFFFFF"/>
            <w:noWrap/>
            <w:vAlign w:val="bottom"/>
            <w:hideMark/>
          </w:tcPr>
          <w:p w14:paraId="2B914926" w14:textId="41B48433" w:rsidR="00F422BC" w:rsidRPr="00F422BC" w:rsidRDefault="007E1002" w:rsidP="00F422BC">
            <w:pPr>
              <w:jc w:val="left"/>
              <w:rPr>
                <w:rFonts w:ascii="Arial" w:hAnsi="Arial" w:cs="Arial"/>
                <w:b/>
                <w:bCs/>
                <w:sz w:val="20"/>
                <w:lang w:eastAsia="bg-BG"/>
              </w:rPr>
            </w:pPr>
            <w:r>
              <w:rPr>
                <w:rFonts w:ascii="Arial" w:hAnsi="Arial" w:cs="Arial"/>
                <w:b/>
                <w:bCs/>
                <w:sz w:val="20"/>
                <w:lang w:eastAsia="bg-BG"/>
              </w:rPr>
              <w:t>2024</w:t>
            </w:r>
          </w:p>
        </w:tc>
        <w:tc>
          <w:tcPr>
            <w:tcW w:w="929" w:type="pct"/>
            <w:tcBorders>
              <w:top w:val="nil"/>
              <w:left w:val="single" w:sz="4" w:space="0" w:color="auto"/>
              <w:bottom w:val="single" w:sz="4" w:space="0" w:color="auto"/>
              <w:right w:val="single" w:sz="4" w:space="0" w:color="auto"/>
            </w:tcBorders>
            <w:shd w:val="clear" w:color="000000" w:fill="FFFFFF"/>
            <w:noWrap/>
            <w:vAlign w:val="bottom"/>
            <w:hideMark/>
          </w:tcPr>
          <w:p w14:paraId="7FAFFF8E" w14:textId="651D31E3" w:rsidR="00F422BC" w:rsidRPr="00F422BC" w:rsidRDefault="0067669F" w:rsidP="00F422BC">
            <w:pPr>
              <w:jc w:val="left"/>
              <w:rPr>
                <w:rFonts w:ascii="Arial" w:hAnsi="Arial" w:cs="Arial"/>
                <w:b/>
                <w:bCs/>
                <w:sz w:val="20"/>
                <w:lang w:eastAsia="bg-BG"/>
              </w:rPr>
            </w:pPr>
            <w:r>
              <w:rPr>
                <w:rFonts w:ascii="Arial" w:hAnsi="Arial" w:cs="Arial"/>
                <w:b/>
                <w:bCs/>
                <w:sz w:val="20"/>
                <w:lang w:eastAsia="bg-BG"/>
              </w:rPr>
              <w:t>30.06</w:t>
            </w:r>
            <w:r w:rsidR="007E1002">
              <w:rPr>
                <w:rFonts w:ascii="Arial" w:hAnsi="Arial" w:cs="Arial"/>
                <w:b/>
                <w:bCs/>
                <w:sz w:val="20"/>
                <w:lang w:eastAsia="bg-BG"/>
              </w:rPr>
              <w:t>.2024</w:t>
            </w:r>
          </w:p>
        </w:tc>
      </w:tr>
      <w:tr w:rsidR="00F422BC" w:rsidRPr="00F422BC" w14:paraId="06F04290" w14:textId="77777777" w:rsidTr="007E1002">
        <w:trPr>
          <w:trHeight w:val="264"/>
        </w:trPr>
        <w:tc>
          <w:tcPr>
            <w:tcW w:w="1352" w:type="pct"/>
            <w:tcBorders>
              <w:top w:val="nil"/>
              <w:left w:val="single" w:sz="4" w:space="0" w:color="auto"/>
              <w:bottom w:val="single" w:sz="4" w:space="0" w:color="auto"/>
              <w:right w:val="nil"/>
            </w:tcBorders>
            <w:shd w:val="clear" w:color="auto" w:fill="auto"/>
            <w:noWrap/>
            <w:vAlign w:val="bottom"/>
            <w:hideMark/>
          </w:tcPr>
          <w:p w14:paraId="00C02082" w14:textId="7777777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Инфра Билдинг ЕООД</w:t>
            </w:r>
          </w:p>
        </w:tc>
        <w:tc>
          <w:tcPr>
            <w:tcW w:w="945" w:type="pct"/>
            <w:tcBorders>
              <w:top w:val="nil"/>
              <w:left w:val="single" w:sz="4" w:space="0" w:color="auto"/>
              <w:bottom w:val="single" w:sz="4" w:space="0" w:color="auto"/>
              <w:right w:val="nil"/>
            </w:tcBorders>
            <w:shd w:val="clear" w:color="000000" w:fill="FFFFFF"/>
            <w:noWrap/>
            <w:vAlign w:val="bottom"/>
            <w:hideMark/>
          </w:tcPr>
          <w:p w14:paraId="65ABC855" w14:textId="563B9F5C"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3 </w:t>
            </w:r>
          </w:p>
        </w:tc>
        <w:tc>
          <w:tcPr>
            <w:tcW w:w="877" w:type="pct"/>
            <w:tcBorders>
              <w:top w:val="nil"/>
              <w:left w:val="single" w:sz="4" w:space="0" w:color="auto"/>
              <w:bottom w:val="single" w:sz="4" w:space="0" w:color="auto"/>
              <w:right w:val="nil"/>
            </w:tcBorders>
            <w:shd w:val="clear" w:color="000000" w:fill="FFFFFF"/>
            <w:noWrap/>
            <w:vAlign w:val="bottom"/>
            <w:hideMark/>
          </w:tcPr>
          <w:p w14:paraId="0A314C0F" w14:textId="380A066C" w:rsidR="00F422BC" w:rsidRPr="00F422BC" w:rsidRDefault="007E1002" w:rsidP="00F422BC">
            <w:pPr>
              <w:jc w:val="left"/>
              <w:rPr>
                <w:rFonts w:ascii="Arial" w:hAnsi="Arial" w:cs="Arial"/>
                <w:sz w:val="20"/>
                <w:lang w:eastAsia="bg-BG"/>
              </w:rPr>
            </w:pPr>
            <w:r>
              <w:rPr>
                <w:rFonts w:ascii="Arial" w:hAnsi="Arial" w:cs="Arial"/>
                <w:sz w:val="20"/>
                <w:lang w:eastAsia="bg-BG"/>
              </w:rPr>
              <w:t xml:space="preserve">                        </w:t>
            </w:r>
            <w:r w:rsidR="00F422BC" w:rsidRPr="00F422BC">
              <w:rPr>
                <w:rFonts w:ascii="Arial" w:hAnsi="Arial" w:cs="Arial"/>
                <w:sz w:val="20"/>
                <w:lang w:eastAsia="bg-BG"/>
              </w:rPr>
              <w:t xml:space="preserve"> </w:t>
            </w:r>
          </w:p>
        </w:tc>
        <w:tc>
          <w:tcPr>
            <w:tcW w:w="896" w:type="pct"/>
            <w:tcBorders>
              <w:top w:val="nil"/>
              <w:left w:val="single" w:sz="4" w:space="0" w:color="auto"/>
              <w:bottom w:val="single" w:sz="4" w:space="0" w:color="auto"/>
              <w:right w:val="nil"/>
            </w:tcBorders>
            <w:shd w:val="clear" w:color="000000" w:fill="FFFFFF"/>
            <w:noWrap/>
            <w:vAlign w:val="bottom"/>
            <w:hideMark/>
          </w:tcPr>
          <w:p w14:paraId="203F9EF6" w14:textId="2050AB3D" w:rsidR="00F422BC" w:rsidRPr="00F422BC" w:rsidRDefault="007E1002" w:rsidP="00F422BC">
            <w:pPr>
              <w:jc w:val="left"/>
              <w:rPr>
                <w:rFonts w:ascii="Arial" w:hAnsi="Arial" w:cs="Arial"/>
                <w:sz w:val="20"/>
                <w:lang w:eastAsia="bg-BG"/>
              </w:rPr>
            </w:pPr>
            <w:r>
              <w:rPr>
                <w:rFonts w:ascii="Arial" w:hAnsi="Arial" w:cs="Arial"/>
                <w:sz w:val="20"/>
                <w:lang w:eastAsia="bg-BG"/>
              </w:rPr>
              <w:t xml:space="preserve">                        </w:t>
            </w:r>
          </w:p>
        </w:tc>
        <w:tc>
          <w:tcPr>
            <w:tcW w:w="929" w:type="pct"/>
            <w:tcBorders>
              <w:top w:val="nil"/>
              <w:left w:val="single" w:sz="4" w:space="0" w:color="auto"/>
              <w:bottom w:val="single" w:sz="4" w:space="0" w:color="auto"/>
              <w:right w:val="single" w:sz="4" w:space="0" w:color="auto"/>
            </w:tcBorders>
            <w:shd w:val="clear" w:color="000000" w:fill="FFFFFF"/>
            <w:noWrap/>
            <w:vAlign w:val="bottom"/>
            <w:hideMark/>
          </w:tcPr>
          <w:p w14:paraId="43C21018" w14:textId="7777777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3 </w:t>
            </w:r>
          </w:p>
        </w:tc>
      </w:tr>
      <w:tr w:rsidR="00F422BC" w:rsidRPr="00F422BC" w14:paraId="025E5447" w14:textId="77777777" w:rsidTr="007E1002">
        <w:trPr>
          <w:trHeight w:val="264"/>
        </w:trPr>
        <w:tc>
          <w:tcPr>
            <w:tcW w:w="1352" w:type="pct"/>
            <w:tcBorders>
              <w:top w:val="nil"/>
              <w:left w:val="single" w:sz="4" w:space="0" w:color="auto"/>
              <w:bottom w:val="single" w:sz="4" w:space="0" w:color="auto"/>
              <w:right w:val="nil"/>
            </w:tcBorders>
            <w:shd w:val="clear" w:color="000000" w:fill="00AEEF"/>
            <w:noWrap/>
            <w:vAlign w:val="bottom"/>
            <w:hideMark/>
          </w:tcPr>
          <w:p w14:paraId="3EB583E1"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lastRenderedPageBreak/>
              <w:t>Общо</w:t>
            </w:r>
          </w:p>
        </w:tc>
        <w:tc>
          <w:tcPr>
            <w:tcW w:w="945" w:type="pct"/>
            <w:tcBorders>
              <w:top w:val="nil"/>
              <w:left w:val="single" w:sz="4" w:space="0" w:color="auto"/>
              <w:bottom w:val="single" w:sz="4" w:space="0" w:color="auto"/>
              <w:right w:val="nil"/>
            </w:tcBorders>
            <w:shd w:val="clear" w:color="000000" w:fill="00AEEF"/>
            <w:noWrap/>
            <w:vAlign w:val="bottom"/>
            <w:hideMark/>
          </w:tcPr>
          <w:p w14:paraId="54911C23" w14:textId="5DCF1E43"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4 </w:t>
            </w:r>
          </w:p>
        </w:tc>
        <w:tc>
          <w:tcPr>
            <w:tcW w:w="877" w:type="pct"/>
            <w:tcBorders>
              <w:top w:val="nil"/>
              <w:left w:val="single" w:sz="4" w:space="0" w:color="auto"/>
              <w:bottom w:val="single" w:sz="4" w:space="0" w:color="auto"/>
              <w:right w:val="nil"/>
            </w:tcBorders>
            <w:shd w:val="clear" w:color="000000" w:fill="00AEEF"/>
            <w:noWrap/>
            <w:vAlign w:val="bottom"/>
            <w:hideMark/>
          </w:tcPr>
          <w:p w14:paraId="5DF15CE7" w14:textId="1309487C" w:rsidR="00F422BC" w:rsidRPr="00F422BC" w:rsidRDefault="007E1002" w:rsidP="00F422BC">
            <w:pPr>
              <w:jc w:val="left"/>
              <w:rPr>
                <w:rFonts w:ascii="Arial" w:hAnsi="Arial" w:cs="Arial"/>
                <w:b/>
                <w:bCs/>
                <w:sz w:val="20"/>
                <w:lang w:eastAsia="bg-BG"/>
              </w:rPr>
            </w:pPr>
            <w:r>
              <w:rPr>
                <w:rFonts w:ascii="Arial" w:hAnsi="Arial" w:cs="Arial"/>
                <w:b/>
                <w:bCs/>
                <w:sz w:val="20"/>
                <w:lang w:eastAsia="bg-BG"/>
              </w:rPr>
              <w:t xml:space="preserve">                        </w:t>
            </w:r>
          </w:p>
        </w:tc>
        <w:tc>
          <w:tcPr>
            <w:tcW w:w="896" w:type="pct"/>
            <w:tcBorders>
              <w:top w:val="nil"/>
              <w:left w:val="single" w:sz="4" w:space="0" w:color="auto"/>
              <w:bottom w:val="single" w:sz="4" w:space="0" w:color="auto"/>
              <w:right w:val="nil"/>
            </w:tcBorders>
            <w:shd w:val="clear" w:color="000000" w:fill="00AEEF"/>
            <w:noWrap/>
            <w:vAlign w:val="bottom"/>
            <w:hideMark/>
          </w:tcPr>
          <w:p w14:paraId="0F86033B"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   </w:t>
            </w:r>
          </w:p>
        </w:tc>
        <w:tc>
          <w:tcPr>
            <w:tcW w:w="929" w:type="pct"/>
            <w:tcBorders>
              <w:top w:val="nil"/>
              <w:left w:val="single" w:sz="4" w:space="0" w:color="auto"/>
              <w:bottom w:val="single" w:sz="4" w:space="0" w:color="auto"/>
              <w:right w:val="single" w:sz="4" w:space="0" w:color="auto"/>
            </w:tcBorders>
            <w:shd w:val="clear" w:color="000000" w:fill="00AEEF"/>
            <w:noWrap/>
            <w:vAlign w:val="bottom"/>
            <w:hideMark/>
          </w:tcPr>
          <w:p w14:paraId="2336A4D5"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3 </w:t>
            </w:r>
          </w:p>
        </w:tc>
      </w:tr>
    </w:tbl>
    <w:p w14:paraId="17B404BB" w14:textId="77777777" w:rsidR="00CA29CF" w:rsidRPr="009F00E2" w:rsidRDefault="00CA29CF" w:rsidP="003A1B5D">
      <w:pPr>
        <w:rPr>
          <w:rFonts w:ascii="Arial" w:hAnsi="Arial" w:cs="Arial"/>
          <w:b/>
          <w:szCs w:val="22"/>
        </w:rPr>
      </w:pPr>
    </w:p>
    <w:p w14:paraId="7E2CF866" w14:textId="77777777" w:rsidR="00D86D20" w:rsidRPr="00B14C47" w:rsidRDefault="00D86D20" w:rsidP="003A1B5D">
      <w:pPr>
        <w:rPr>
          <w:rFonts w:ascii="Arial" w:hAnsi="Arial" w:cs="Arial"/>
          <w:b/>
          <w:szCs w:val="22"/>
          <w:lang w:val="en-US"/>
        </w:rPr>
      </w:pPr>
    </w:p>
    <w:tbl>
      <w:tblPr>
        <w:tblW w:w="5018" w:type="pct"/>
        <w:tblCellMar>
          <w:left w:w="70" w:type="dxa"/>
          <w:right w:w="70" w:type="dxa"/>
        </w:tblCellMar>
        <w:tblLook w:val="04A0" w:firstRow="1" w:lastRow="0" w:firstColumn="1" w:lastColumn="0" w:noHBand="0" w:noVBand="1"/>
      </w:tblPr>
      <w:tblGrid>
        <w:gridCol w:w="4138"/>
        <w:gridCol w:w="2860"/>
        <w:gridCol w:w="2644"/>
      </w:tblGrid>
      <w:tr w:rsidR="00D70464" w:rsidRPr="00CA29CF" w14:paraId="752980D2" w14:textId="77777777" w:rsidTr="00F90DFA">
        <w:trPr>
          <w:trHeight w:val="433"/>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E426BAD" w14:textId="62F54F92"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 xml:space="preserve">Салда на главници по задължения по цесии към свързани лица в групата </w:t>
            </w:r>
            <w:r w:rsidR="00B0760F" w:rsidRPr="00CA29CF">
              <w:rPr>
                <w:rFonts w:ascii="Arial" w:hAnsi="Arial" w:cs="Arial"/>
                <w:b/>
                <w:bCs/>
                <w:sz w:val="20"/>
                <w:lang w:eastAsia="bg-BG"/>
              </w:rPr>
              <w:t>–</w:t>
            </w:r>
            <w:r w:rsidRPr="00CA29CF">
              <w:rPr>
                <w:rFonts w:ascii="Arial" w:hAnsi="Arial" w:cs="Arial"/>
                <w:b/>
                <w:bCs/>
                <w:sz w:val="20"/>
                <w:lang w:eastAsia="bg-BG"/>
              </w:rPr>
              <w:t xml:space="preserve"> </w:t>
            </w:r>
            <w:r w:rsidR="003F67E7">
              <w:rPr>
                <w:rFonts w:ascii="Arial" w:hAnsi="Arial" w:cs="Arial"/>
                <w:b/>
                <w:bCs/>
                <w:sz w:val="20"/>
                <w:lang w:eastAsia="bg-BG"/>
              </w:rPr>
              <w:t>към 30.06</w:t>
            </w:r>
            <w:r w:rsidR="007E1002">
              <w:rPr>
                <w:rFonts w:ascii="Arial" w:hAnsi="Arial" w:cs="Arial"/>
                <w:b/>
                <w:bCs/>
                <w:sz w:val="20"/>
                <w:lang w:eastAsia="bg-BG"/>
              </w:rPr>
              <w:t>.2024</w:t>
            </w:r>
            <w:r w:rsidR="00B0760F" w:rsidRPr="00CA29CF">
              <w:rPr>
                <w:rFonts w:ascii="Arial" w:hAnsi="Arial" w:cs="Arial"/>
                <w:b/>
                <w:bCs/>
                <w:sz w:val="20"/>
                <w:lang w:eastAsia="bg-BG"/>
              </w:rPr>
              <w:t>г.</w:t>
            </w:r>
          </w:p>
        </w:tc>
      </w:tr>
      <w:tr w:rsidR="00D70464" w:rsidRPr="00CA29CF" w14:paraId="31D71202" w14:textId="77777777" w:rsidTr="00F90DFA">
        <w:trPr>
          <w:trHeight w:val="433"/>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14:paraId="543FE23D" w14:textId="77777777" w:rsidR="00D70464" w:rsidRPr="00CA29CF" w:rsidRDefault="00D70464" w:rsidP="00D70464">
            <w:pPr>
              <w:jc w:val="left"/>
              <w:rPr>
                <w:rFonts w:ascii="Arial" w:hAnsi="Arial" w:cs="Arial"/>
                <w:b/>
                <w:bCs/>
                <w:sz w:val="20"/>
                <w:lang w:eastAsia="bg-BG"/>
              </w:rPr>
            </w:pPr>
          </w:p>
        </w:tc>
      </w:tr>
      <w:tr w:rsidR="00D70464" w:rsidRPr="00CA29CF" w14:paraId="4953992E" w14:textId="77777777" w:rsidTr="00F90DFA">
        <w:trPr>
          <w:trHeight w:val="433"/>
        </w:trPr>
        <w:tc>
          <w:tcPr>
            <w:tcW w:w="214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2DA9405"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Свързано лице</w:t>
            </w:r>
          </w:p>
        </w:tc>
        <w:tc>
          <w:tcPr>
            <w:tcW w:w="148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66D4D9F" w14:textId="77777777" w:rsidR="00D70464" w:rsidRPr="00CA29CF" w:rsidRDefault="00D70464" w:rsidP="00D70464">
            <w:pPr>
              <w:jc w:val="center"/>
              <w:rPr>
                <w:rFonts w:ascii="Arial" w:hAnsi="Arial" w:cs="Arial"/>
                <w:b/>
                <w:bCs/>
                <w:sz w:val="20"/>
                <w:lang w:eastAsia="bg-BG"/>
              </w:rPr>
            </w:pPr>
            <w:r w:rsidRPr="00CA29CF">
              <w:rPr>
                <w:rFonts w:ascii="Arial" w:hAnsi="Arial" w:cs="Arial"/>
                <w:b/>
                <w:bCs/>
                <w:sz w:val="20"/>
                <w:lang w:eastAsia="bg-BG"/>
              </w:rPr>
              <w:t>Задължения</w:t>
            </w:r>
            <w:r w:rsidRPr="00CA29CF">
              <w:rPr>
                <w:rFonts w:ascii="Arial" w:hAnsi="Arial" w:cs="Arial"/>
                <w:b/>
                <w:bCs/>
                <w:sz w:val="20"/>
                <w:lang w:eastAsia="bg-BG"/>
              </w:rPr>
              <w:br/>
              <w:t xml:space="preserve"> до 1 година</w:t>
            </w:r>
          </w:p>
        </w:tc>
        <w:tc>
          <w:tcPr>
            <w:tcW w:w="137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A47A362" w14:textId="77777777" w:rsidR="00D70464" w:rsidRPr="00CA29CF" w:rsidRDefault="00D70464" w:rsidP="00D70464">
            <w:pPr>
              <w:jc w:val="center"/>
              <w:rPr>
                <w:rFonts w:ascii="Arial" w:hAnsi="Arial" w:cs="Arial"/>
                <w:b/>
                <w:bCs/>
                <w:sz w:val="20"/>
                <w:lang w:eastAsia="bg-BG"/>
              </w:rPr>
            </w:pPr>
            <w:r w:rsidRPr="00CA29CF">
              <w:rPr>
                <w:rFonts w:ascii="Arial" w:hAnsi="Arial" w:cs="Arial"/>
                <w:b/>
                <w:bCs/>
                <w:sz w:val="20"/>
                <w:lang w:eastAsia="bg-BG"/>
              </w:rPr>
              <w:t>Задължения</w:t>
            </w:r>
            <w:r w:rsidRPr="00CA29CF">
              <w:rPr>
                <w:rFonts w:ascii="Arial" w:hAnsi="Arial" w:cs="Arial"/>
                <w:b/>
                <w:bCs/>
                <w:sz w:val="20"/>
                <w:lang w:eastAsia="bg-BG"/>
              </w:rPr>
              <w:br/>
              <w:t xml:space="preserve"> над 1 година</w:t>
            </w:r>
          </w:p>
        </w:tc>
      </w:tr>
      <w:tr w:rsidR="00D70464" w:rsidRPr="00CA29CF" w14:paraId="7D890C98" w14:textId="77777777" w:rsidTr="00F90DFA">
        <w:trPr>
          <w:trHeight w:val="433"/>
        </w:trPr>
        <w:tc>
          <w:tcPr>
            <w:tcW w:w="2146" w:type="pct"/>
            <w:vMerge/>
            <w:tcBorders>
              <w:top w:val="nil"/>
              <w:left w:val="single" w:sz="4" w:space="0" w:color="auto"/>
              <w:bottom w:val="single" w:sz="4" w:space="0" w:color="000000"/>
              <w:right w:val="single" w:sz="4" w:space="0" w:color="auto"/>
            </w:tcBorders>
            <w:vAlign w:val="center"/>
            <w:hideMark/>
          </w:tcPr>
          <w:p w14:paraId="2728447E" w14:textId="77777777" w:rsidR="00D70464" w:rsidRPr="00CA29CF" w:rsidRDefault="00D70464" w:rsidP="00D70464">
            <w:pPr>
              <w:jc w:val="left"/>
              <w:rPr>
                <w:rFonts w:ascii="Arial" w:hAnsi="Arial" w:cs="Arial"/>
                <w:b/>
                <w:bCs/>
                <w:sz w:val="20"/>
                <w:lang w:eastAsia="bg-BG"/>
              </w:rPr>
            </w:pPr>
          </w:p>
        </w:tc>
        <w:tc>
          <w:tcPr>
            <w:tcW w:w="1483" w:type="pct"/>
            <w:vMerge/>
            <w:tcBorders>
              <w:top w:val="nil"/>
              <w:left w:val="single" w:sz="4" w:space="0" w:color="auto"/>
              <w:bottom w:val="single" w:sz="4" w:space="0" w:color="000000"/>
              <w:right w:val="single" w:sz="4" w:space="0" w:color="auto"/>
            </w:tcBorders>
            <w:vAlign w:val="center"/>
            <w:hideMark/>
          </w:tcPr>
          <w:p w14:paraId="4ED853E3" w14:textId="77777777" w:rsidR="00D70464" w:rsidRPr="00CA29CF" w:rsidRDefault="00D70464" w:rsidP="00D70464">
            <w:pPr>
              <w:jc w:val="left"/>
              <w:rPr>
                <w:rFonts w:ascii="Arial" w:hAnsi="Arial" w:cs="Arial"/>
                <w:b/>
                <w:bCs/>
                <w:sz w:val="20"/>
                <w:lang w:eastAsia="bg-BG"/>
              </w:rPr>
            </w:pPr>
          </w:p>
        </w:tc>
        <w:tc>
          <w:tcPr>
            <w:tcW w:w="1371" w:type="pct"/>
            <w:vMerge/>
            <w:tcBorders>
              <w:top w:val="nil"/>
              <w:left w:val="single" w:sz="4" w:space="0" w:color="auto"/>
              <w:bottom w:val="single" w:sz="4" w:space="0" w:color="000000"/>
              <w:right w:val="single" w:sz="4" w:space="0" w:color="auto"/>
            </w:tcBorders>
            <w:vAlign w:val="center"/>
            <w:hideMark/>
          </w:tcPr>
          <w:p w14:paraId="5C171B8E" w14:textId="77777777" w:rsidR="00D70464" w:rsidRPr="00CA29CF" w:rsidRDefault="00D70464" w:rsidP="00D70464">
            <w:pPr>
              <w:jc w:val="left"/>
              <w:rPr>
                <w:rFonts w:ascii="Arial" w:hAnsi="Arial" w:cs="Arial"/>
                <w:b/>
                <w:bCs/>
                <w:sz w:val="20"/>
                <w:lang w:eastAsia="bg-BG"/>
              </w:rPr>
            </w:pPr>
          </w:p>
        </w:tc>
      </w:tr>
      <w:tr w:rsidR="00D70464" w:rsidRPr="00CA29CF" w14:paraId="4AC5995C" w14:textId="77777777" w:rsidTr="00F90DFA">
        <w:trPr>
          <w:trHeight w:val="45"/>
        </w:trPr>
        <w:tc>
          <w:tcPr>
            <w:tcW w:w="2146" w:type="pct"/>
            <w:tcBorders>
              <w:top w:val="nil"/>
              <w:left w:val="single" w:sz="4" w:space="0" w:color="auto"/>
              <w:bottom w:val="single" w:sz="4" w:space="0" w:color="auto"/>
              <w:right w:val="nil"/>
            </w:tcBorders>
            <w:shd w:val="clear" w:color="auto" w:fill="auto"/>
            <w:noWrap/>
            <w:vAlign w:val="bottom"/>
            <w:hideMark/>
          </w:tcPr>
          <w:p w14:paraId="0DB526A5" w14:textId="77777777" w:rsidR="00D70464" w:rsidRPr="00CA29CF" w:rsidRDefault="00D70464" w:rsidP="00D70464">
            <w:pPr>
              <w:jc w:val="left"/>
              <w:rPr>
                <w:rFonts w:ascii="Arial" w:hAnsi="Arial" w:cs="Arial"/>
                <w:sz w:val="20"/>
                <w:lang w:eastAsia="bg-BG"/>
              </w:rPr>
            </w:pPr>
            <w:r w:rsidRPr="00CA29CF">
              <w:rPr>
                <w:rFonts w:ascii="Arial" w:hAnsi="Arial" w:cs="Arial"/>
                <w:sz w:val="20"/>
                <w:lang w:eastAsia="bg-BG"/>
              </w:rPr>
              <w:t>Инфра Билдинг ЕООД</w:t>
            </w:r>
          </w:p>
        </w:tc>
        <w:tc>
          <w:tcPr>
            <w:tcW w:w="1483" w:type="pct"/>
            <w:tcBorders>
              <w:top w:val="nil"/>
              <w:left w:val="single" w:sz="4" w:space="0" w:color="auto"/>
              <w:bottom w:val="single" w:sz="4" w:space="0" w:color="auto"/>
              <w:right w:val="nil"/>
            </w:tcBorders>
            <w:shd w:val="clear" w:color="000000" w:fill="FFFFFF"/>
            <w:noWrap/>
            <w:vAlign w:val="bottom"/>
            <w:hideMark/>
          </w:tcPr>
          <w:p w14:paraId="7998527E" w14:textId="77777777" w:rsidR="00D70464" w:rsidRPr="00CA29CF" w:rsidRDefault="00D70464" w:rsidP="00D70464">
            <w:pPr>
              <w:jc w:val="left"/>
              <w:rPr>
                <w:rFonts w:ascii="Arial" w:hAnsi="Arial" w:cs="Arial"/>
                <w:sz w:val="20"/>
                <w:lang w:eastAsia="bg-BG"/>
              </w:rPr>
            </w:pPr>
            <w:r w:rsidRPr="00CA29CF">
              <w:rPr>
                <w:rFonts w:ascii="Arial" w:hAnsi="Arial" w:cs="Arial"/>
                <w:sz w:val="20"/>
                <w:lang w:eastAsia="bg-BG"/>
              </w:rPr>
              <w:t xml:space="preserve">                         37 </w:t>
            </w:r>
          </w:p>
        </w:tc>
        <w:tc>
          <w:tcPr>
            <w:tcW w:w="1371" w:type="pct"/>
            <w:tcBorders>
              <w:top w:val="nil"/>
              <w:left w:val="single" w:sz="4" w:space="0" w:color="auto"/>
              <w:bottom w:val="single" w:sz="4" w:space="0" w:color="auto"/>
              <w:right w:val="single" w:sz="4" w:space="0" w:color="auto"/>
            </w:tcBorders>
            <w:shd w:val="clear" w:color="000000" w:fill="FFFFFF"/>
            <w:noWrap/>
            <w:vAlign w:val="bottom"/>
            <w:hideMark/>
          </w:tcPr>
          <w:p w14:paraId="63A1A1B5" w14:textId="77777777" w:rsidR="00D70464" w:rsidRPr="00CA29CF" w:rsidRDefault="00D70464" w:rsidP="00D70464">
            <w:pPr>
              <w:jc w:val="left"/>
              <w:rPr>
                <w:rFonts w:ascii="Arial" w:hAnsi="Arial" w:cs="Arial"/>
                <w:sz w:val="20"/>
                <w:lang w:eastAsia="bg-BG"/>
              </w:rPr>
            </w:pPr>
            <w:r w:rsidRPr="00CA29CF">
              <w:rPr>
                <w:rFonts w:ascii="Arial" w:hAnsi="Arial" w:cs="Arial"/>
                <w:sz w:val="20"/>
                <w:lang w:eastAsia="bg-BG"/>
              </w:rPr>
              <w:t> </w:t>
            </w:r>
          </w:p>
        </w:tc>
      </w:tr>
      <w:tr w:rsidR="00D70464" w:rsidRPr="00CA29CF" w14:paraId="00C7A402" w14:textId="77777777" w:rsidTr="00F90DFA">
        <w:trPr>
          <w:trHeight w:val="45"/>
        </w:trPr>
        <w:tc>
          <w:tcPr>
            <w:tcW w:w="2146" w:type="pct"/>
            <w:tcBorders>
              <w:top w:val="nil"/>
              <w:left w:val="single" w:sz="4" w:space="0" w:color="auto"/>
              <w:bottom w:val="single" w:sz="4" w:space="0" w:color="auto"/>
              <w:right w:val="single" w:sz="4" w:space="0" w:color="auto"/>
            </w:tcBorders>
            <w:shd w:val="clear" w:color="000000" w:fill="00AEEF"/>
            <w:vAlign w:val="bottom"/>
            <w:hideMark/>
          </w:tcPr>
          <w:p w14:paraId="19993AE3"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Общо</w:t>
            </w:r>
          </w:p>
        </w:tc>
        <w:tc>
          <w:tcPr>
            <w:tcW w:w="1483" w:type="pct"/>
            <w:tcBorders>
              <w:top w:val="nil"/>
              <w:left w:val="nil"/>
              <w:bottom w:val="single" w:sz="4" w:space="0" w:color="auto"/>
              <w:right w:val="nil"/>
            </w:tcBorders>
            <w:shd w:val="clear" w:color="000000" w:fill="00AEEF"/>
            <w:noWrap/>
            <w:vAlign w:val="bottom"/>
            <w:hideMark/>
          </w:tcPr>
          <w:p w14:paraId="2674CF7D"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 xml:space="preserve">                         37 </w:t>
            </w:r>
          </w:p>
        </w:tc>
        <w:tc>
          <w:tcPr>
            <w:tcW w:w="1371" w:type="pct"/>
            <w:tcBorders>
              <w:top w:val="nil"/>
              <w:left w:val="single" w:sz="4" w:space="0" w:color="auto"/>
              <w:bottom w:val="single" w:sz="4" w:space="0" w:color="auto"/>
              <w:right w:val="single" w:sz="4" w:space="0" w:color="auto"/>
            </w:tcBorders>
            <w:shd w:val="clear" w:color="000000" w:fill="00AEEF"/>
            <w:noWrap/>
            <w:vAlign w:val="bottom"/>
            <w:hideMark/>
          </w:tcPr>
          <w:p w14:paraId="6A48AAA6"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 xml:space="preserve">                       -   </w:t>
            </w:r>
          </w:p>
        </w:tc>
      </w:tr>
    </w:tbl>
    <w:p w14:paraId="05EBA451" w14:textId="77777777" w:rsidR="00D86D20" w:rsidRPr="00CA29CF" w:rsidRDefault="00D86D20" w:rsidP="003A1B5D">
      <w:pPr>
        <w:rPr>
          <w:rFonts w:ascii="Arial" w:hAnsi="Arial" w:cs="Arial"/>
          <w:b/>
          <w:szCs w:val="22"/>
        </w:rPr>
      </w:pPr>
    </w:p>
    <w:p w14:paraId="265091DF" w14:textId="58B65C54" w:rsidR="003A1B5D" w:rsidRPr="00CA29CF" w:rsidRDefault="003A1B5D" w:rsidP="003A1B5D">
      <w:pPr>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2851"/>
        <w:gridCol w:w="2012"/>
        <w:gridCol w:w="1466"/>
        <w:gridCol w:w="1585"/>
        <w:gridCol w:w="1693"/>
      </w:tblGrid>
      <w:tr w:rsidR="00FA2356" w:rsidRPr="00CA29CF" w14:paraId="1C5EE359" w14:textId="77777777" w:rsidTr="00FB382B">
        <w:trPr>
          <w:trHeight w:val="310"/>
        </w:trPr>
        <w:tc>
          <w:tcPr>
            <w:tcW w:w="5000" w:type="pct"/>
            <w:gridSpan w:val="5"/>
            <w:tcBorders>
              <w:top w:val="single" w:sz="4" w:space="0" w:color="auto"/>
              <w:left w:val="nil"/>
              <w:bottom w:val="single" w:sz="4" w:space="0" w:color="auto"/>
              <w:right w:val="nil"/>
            </w:tcBorders>
            <w:shd w:val="clear" w:color="auto" w:fill="C0C0C0"/>
            <w:noWrap/>
            <w:vAlign w:val="bottom"/>
            <w:hideMark/>
          </w:tcPr>
          <w:p w14:paraId="295426BD" w14:textId="77777777" w:rsidR="00FA2356" w:rsidRPr="00CA29CF" w:rsidRDefault="00FA2356" w:rsidP="00FB382B">
            <w:pPr>
              <w:jc w:val="left"/>
              <w:rPr>
                <w:rFonts w:ascii="Arial" w:hAnsi="Arial" w:cs="Arial"/>
                <w:b/>
                <w:bCs/>
                <w:sz w:val="20"/>
                <w:lang w:eastAsia="bg-BG"/>
              </w:rPr>
            </w:pPr>
            <w:r w:rsidRPr="00CA29CF">
              <w:rPr>
                <w:rFonts w:ascii="Arial" w:hAnsi="Arial" w:cs="Arial"/>
                <w:b/>
                <w:bCs/>
                <w:sz w:val="20"/>
                <w:lang w:eastAsia="bg-BG"/>
              </w:rPr>
              <w:t xml:space="preserve">Търговски и други задължения към свързани лица </w:t>
            </w:r>
          </w:p>
        </w:tc>
      </w:tr>
      <w:tr w:rsidR="00FA2356" w:rsidRPr="00CA29CF" w14:paraId="31158F05" w14:textId="77777777" w:rsidTr="00FB382B">
        <w:trPr>
          <w:trHeight w:val="255"/>
        </w:trPr>
        <w:tc>
          <w:tcPr>
            <w:tcW w:w="1484" w:type="pct"/>
            <w:tcBorders>
              <w:top w:val="nil"/>
              <w:left w:val="single" w:sz="4" w:space="0" w:color="auto"/>
              <w:bottom w:val="single" w:sz="4" w:space="0" w:color="auto"/>
              <w:right w:val="nil"/>
            </w:tcBorders>
            <w:shd w:val="clear" w:color="auto" w:fill="FFFFFF"/>
            <w:noWrap/>
            <w:vAlign w:val="bottom"/>
            <w:hideMark/>
          </w:tcPr>
          <w:p w14:paraId="7F449A21" w14:textId="77777777" w:rsidR="00FA2356" w:rsidRPr="00CA29CF" w:rsidRDefault="00FA2356" w:rsidP="00FB382B">
            <w:pPr>
              <w:jc w:val="center"/>
              <w:rPr>
                <w:rFonts w:ascii="Arial" w:hAnsi="Arial" w:cs="Arial"/>
                <w:b/>
                <w:bCs/>
                <w:sz w:val="20"/>
                <w:lang w:eastAsia="bg-BG"/>
              </w:rPr>
            </w:pPr>
            <w:r w:rsidRPr="00CA29CF">
              <w:rPr>
                <w:rFonts w:ascii="Arial" w:hAnsi="Arial" w:cs="Arial"/>
                <w:b/>
                <w:bCs/>
                <w:sz w:val="20"/>
                <w:lang w:eastAsia="bg-BG"/>
              </w:rPr>
              <w:t xml:space="preserve">Свързано лице </w:t>
            </w:r>
          </w:p>
        </w:tc>
        <w:tc>
          <w:tcPr>
            <w:tcW w:w="1047" w:type="pct"/>
            <w:tcBorders>
              <w:top w:val="nil"/>
              <w:left w:val="single" w:sz="4" w:space="0" w:color="auto"/>
              <w:bottom w:val="single" w:sz="4" w:space="0" w:color="auto"/>
              <w:right w:val="nil"/>
            </w:tcBorders>
            <w:shd w:val="clear" w:color="auto" w:fill="FFFFFF"/>
            <w:noWrap/>
            <w:vAlign w:val="bottom"/>
            <w:hideMark/>
          </w:tcPr>
          <w:p w14:paraId="05D9EB2A" w14:textId="21236365" w:rsidR="00FA2356" w:rsidRPr="00CA29CF" w:rsidRDefault="00FA2356" w:rsidP="007E1002">
            <w:pPr>
              <w:jc w:val="left"/>
              <w:rPr>
                <w:rFonts w:ascii="Arial" w:hAnsi="Arial" w:cs="Arial"/>
                <w:b/>
                <w:bCs/>
                <w:sz w:val="20"/>
                <w:lang w:eastAsia="bg-BG"/>
              </w:rPr>
            </w:pPr>
            <w:r w:rsidRPr="00CA29CF">
              <w:rPr>
                <w:rFonts w:ascii="Arial" w:hAnsi="Arial" w:cs="Arial"/>
                <w:b/>
                <w:bCs/>
                <w:sz w:val="20"/>
                <w:lang w:eastAsia="bg-BG"/>
              </w:rPr>
              <w:t>3</w:t>
            </w:r>
            <w:r w:rsidR="003F67E7">
              <w:rPr>
                <w:rFonts w:ascii="Arial" w:hAnsi="Arial" w:cs="Arial"/>
                <w:b/>
                <w:bCs/>
                <w:sz w:val="20"/>
                <w:lang w:eastAsia="bg-BG"/>
              </w:rPr>
              <w:t>0</w:t>
            </w:r>
            <w:r w:rsidRPr="00CA29CF">
              <w:rPr>
                <w:rFonts w:ascii="Arial" w:hAnsi="Arial" w:cs="Arial"/>
                <w:b/>
                <w:bCs/>
                <w:sz w:val="20"/>
                <w:lang w:eastAsia="bg-BG"/>
              </w:rPr>
              <w:t>.</w:t>
            </w:r>
            <w:r w:rsidR="003F67E7">
              <w:rPr>
                <w:rFonts w:ascii="Arial" w:hAnsi="Arial" w:cs="Arial"/>
                <w:b/>
                <w:bCs/>
                <w:sz w:val="20"/>
                <w:lang w:val="en-US" w:eastAsia="bg-BG"/>
              </w:rPr>
              <w:t>0</w:t>
            </w:r>
            <w:r w:rsidR="003F67E7">
              <w:rPr>
                <w:rFonts w:ascii="Arial" w:hAnsi="Arial" w:cs="Arial"/>
                <w:b/>
                <w:bCs/>
                <w:sz w:val="20"/>
                <w:lang w:eastAsia="bg-BG"/>
              </w:rPr>
              <w:t>6</w:t>
            </w:r>
            <w:r w:rsidR="007E1002">
              <w:rPr>
                <w:rFonts w:ascii="Arial" w:hAnsi="Arial" w:cs="Arial"/>
                <w:b/>
                <w:bCs/>
                <w:sz w:val="20"/>
                <w:lang w:eastAsia="bg-BG"/>
              </w:rPr>
              <w:t>.2024</w:t>
            </w:r>
            <w:r w:rsidRPr="00CA29CF">
              <w:rPr>
                <w:rFonts w:ascii="Arial" w:hAnsi="Arial" w:cs="Arial"/>
                <w:b/>
                <w:bCs/>
                <w:sz w:val="20"/>
                <w:lang w:eastAsia="bg-BG"/>
              </w:rPr>
              <w:t>г.</w:t>
            </w:r>
          </w:p>
        </w:tc>
        <w:tc>
          <w:tcPr>
            <w:tcW w:w="763" w:type="pct"/>
            <w:tcBorders>
              <w:top w:val="nil"/>
              <w:left w:val="single" w:sz="4" w:space="0" w:color="auto"/>
              <w:bottom w:val="single" w:sz="4" w:space="0" w:color="auto"/>
              <w:right w:val="nil"/>
            </w:tcBorders>
            <w:shd w:val="clear" w:color="auto" w:fill="FFFFFF"/>
            <w:noWrap/>
            <w:vAlign w:val="bottom"/>
            <w:hideMark/>
          </w:tcPr>
          <w:p w14:paraId="141F5173" w14:textId="77777777" w:rsidR="00FA2356" w:rsidRPr="00CA29CF" w:rsidRDefault="00FA2356" w:rsidP="00FB382B">
            <w:pPr>
              <w:jc w:val="left"/>
              <w:rPr>
                <w:rFonts w:ascii="Arial" w:hAnsi="Arial" w:cs="Arial"/>
                <w:b/>
                <w:bCs/>
                <w:sz w:val="20"/>
                <w:lang w:eastAsia="bg-BG"/>
              </w:rPr>
            </w:pPr>
            <w:r w:rsidRPr="00CA29CF">
              <w:rPr>
                <w:rFonts w:ascii="Arial" w:hAnsi="Arial" w:cs="Arial"/>
                <w:b/>
                <w:bCs/>
                <w:sz w:val="20"/>
                <w:lang w:eastAsia="bg-BG"/>
              </w:rPr>
              <w:t>Гаранции</w:t>
            </w:r>
          </w:p>
        </w:tc>
        <w:tc>
          <w:tcPr>
            <w:tcW w:w="825" w:type="pct"/>
            <w:tcBorders>
              <w:top w:val="nil"/>
              <w:left w:val="single" w:sz="4" w:space="0" w:color="auto"/>
              <w:bottom w:val="single" w:sz="4" w:space="0" w:color="auto"/>
              <w:right w:val="nil"/>
            </w:tcBorders>
            <w:shd w:val="clear" w:color="auto" w:fill="FFFFFF"/>
            <w:noWrap/>
            <w:vAlign w:val="bottom"/>
            <w:hideMark/>
          </w:tcPr>
          <w:p w14:paraId="10845C2E" w14:textId="6446206F" w:rsidR="00FA2356" w:rsidRPr="00CA29CF" w:rsidRDefault="007E1002" w:rsidP="00FB382B">
            <w:pPr>
              <w:jc w:val="left"/>
              <w:rPr>
                <w:rFonts w:ascii="Arial" w:hAnsi="Arial" w:cs="Arial"/>
                <w:b/>
                <w:bCs/>
                <w:sz w:val="20"/>
                <w:lang w:eastAsia="bg-BG"/>
              </w:rPr>
            </w:pPr>
            <w:r>
              <w:rPr>
                <w:rFonts w:ascii="Arial" w:hAnsi="Arial" w:cs="Arial"/>
                <w:b/>
                <w:bCs/>
                <w:sz w:val="20"/>
                <w:lang w:eastAsia="bg-BG"/>
              </w:rPr>
              <w:t>31.12.2023</w:t>
            </w:r>
            <w:r w:rsidR="00FA2356" w:rsidRPr="00CA29CF">
              <w:rPr>
                <w:rFonts w:ascii="Arial" w:hAnsi="Arial" w:cs="Arial"/>
                <w:b/>
                <w:bCs/>
                <w:sz w:val="20"/>
                <w:lang w:eastAsia="bg-BG"/>
              </w:rPr>
              <w:t>г.</w:t>
            </w:r>
          </w:p>
        </w:tc>
        <w:tc>
          <w:tcPr>
            <w:tcW w:w="881" w:type="pct"/>
            <w:tcBorders>
              <w:top w:val="nil"/>
              <w:left w:val="single" w:sz="4" w:space="0" w:color="auto"/>
              <w:bottom w:val="single" w:sz="4" w:space="0" w:color="auto"/>
              <w:right w:val="single" w:sz="4" w:space="0" w:color="auto"/>
            </w:tcBorders>
            <w:shd w:val="clear" w:color="auto" w:fill="FFFFFF"/>
            <w:noWrap/>
            <w:vAlign w:val="bottom"/>
            <w:hideMark/>
          </w:tcPr>
          <w:p w14:paraId="40D11B6A" w14:textId="77777777" w:rsidR="00FA2356" w:rsidRPr="00CA29CF" w:rsidRDefault="00FA2356" w:rsidP="00FB382B">
            <w:pPr>
              <w:jc w:val="left"/>
              <w:rPr>
                <w:rFonts w:ascii="Arial" w:hAnsi="Arial" w:cs="Arial"/>
                <w:b/>
                <w:bCs/>
                <w:sz w:val="20"/>
                <w:lang w:eastAsia="bg-BG"/>
              </w:rPr>
            </w:pPr>
            <w:r w:rsidRPr="00CA29CF">
              <w:rPr>
                <w:rFonts w:ascii="Arial" w:hAnsi="Arial" w:cs="Arial"/>
                <w:b/>
                <w:bCs/>
                <w:sz w:val="20"/>
                <w:lang w:eastAsia="bg-BG"/>
              </w:rPr>
              <w:t>Гаранции</w:t>
            </w:r>
          </w:p>
        </w:tc>
      </w:tr>
      <w:tr w:rsidR="00FA2356" w:rsidRPr="00CA29CF" w14:paraId="585BBB81" w14:textId="77777777" w:rsidTr="00FB382B">
        <w:trPr>
          <w:trHeight w:val="255"/>
        </w:trPr>
        <w:tc>
          <w:tcPr>
            <w:tcW w:w="1484" w:type="pct"/>
            <w:tcBorders>
              <w:top w:val="nil"/>
              <w:left w:val="single" w:sz="4" w:space="0" w:color="auto"/>
              <w:bottom w:val="single" w:sz="4" w:space="0" w:color="auto"/>
              <w:right w:val="nil"/>
            </w:tcBorders>
            <w:noWrap/>
            <w:vAlign w:val="bottom"/>
            <w:hideMark/>
          </w:tcPr>
          <w:p w14:paraId="231C80AB" w14:textId="77777777" w:rsidR="00FA2356" w:rsidRPr="00CA29CF" w:rsidRDefault="00FA2356" w:rsidP="00FB382B">
            <w:pPr>
              <w:jc w:val="left"/>
              <w:rPr>
                <w:rFonts w:ascii="Arial" w:hAnsi="Arial" w:cs="Arial"/>
                <w:sz w:val="20"/>
                <w:lang w:eastAsia="bg-BG"/>
              </w:rPr>
            </w:pPr>
            <w:r w:rsidRPr="00CA29CF">
              <w:rPr>
                <w:rFonts w:ascii="Arial" w:hAnsi="Arial" w:cs="Arial"/>
                <w:sz w:val="20"/>
                <w:lang w:eastAsia="bg-BG"/>
              </w:rPr>
              <w:t>Гаранции членове на СД</w:t>
            </w:r>
          </w:p>
        </w:tc>
        <w:tc>
          <w:tcPr>
            <w:tcW w:w="1047" w:type="pct"/>
            <w:tcBorders>
              <w:top w:val="nil"/>
              <w:left w:val="single" w:sz="4" w:space="0" w:color="auto"/>
              <w:bottom w:val="single" w:sz="4" w:space="0" w:color="auto"/>
              <w:right w:val="single" w:sz="4" w:space="0" w:color="auto"/>
            </w:tcBorders>
            <w:shd w:val="clear" w:color="auto" w:fill="FFFFFF"/>
            <w:noWrap/>
            <w:vAlign w:val="center"/>
            <w:hideMark/>
          </w:tcPr>
          <w:p w14:paraId="1780EF66" w14:textId="77777777" w:rsidR="00FA2356" w:rsidRPr="00CA29CF" w:rsidRDefault="00FA2356" w:rsidP="00FB382B">
            <w:pPr>
              <w:jc w:val="right"/>
              <w:rPr>
                <w:rFonts w:ascii="Arial" w:hAnsi="Arial" w:cs="Arial"/>
                <w:sz w:val="20"/>
                <w:lang w:eastAsia="bg-BG"/>
              </w:rPr>
            </w:pPr>
            <w:r w:rsidRPr="00CA29CF">
              <w:rPr>
                <w:rFonts w:ascii="Arial" w:hAnsi="Arial" w:cs="Arial"/>
                <w:sz w:val="20"/>
                <w:lang w:eastAsia="bg-BG"/>
              </w:rPr>
              <w:t xml:space="preserve">                       11</w:t>
            </w:r>
          </w:p>
        </w:tc>
        <w:tc>
          <w:tcPr>
            <w:tcW w:w="763" w:type="pct"/>
            <w:tcBorders>
              <w:top w:val="nil"/>
              <w:left w:val="nil"/>
              <w:bottom w:val="single" w:sz="4" w:space="0" w:color="auto"/>
              <w:right w:val="single" w:sz="4" w:space="0" w:color="auto"/>
            </w:tcBorders>
            <w:shd w:val="clear" w:color="auto" w:fill="FFFFFF"/>
            <w:noWrap/>
            <w:vAlign w:val="center"/>
            <w:hideMark/>
          </w:tcPr>
          <w:p w14:paraId="486CD646" w14:textId="7B843264" w:rsidR="00FA2356" w:rsidRPr="00CA29CF" w:rsidRDefault="00FA2356" w:rsidP="00FB382B">
            <w:pPr>
              <w:jc w:val="right"/>
              <w:rPr>
                <w:rFonts w:ascii="Arial" w:hAnsi="Arial" w:cs="Arial"/>
                <w:sz w:val="20"/>
                <w:lang w:eastAsia="bg-BG"/>
              </w:rPr>
            </w:pPr>
          </w:p>
        </w:tc>
        <w:tc>
          <w:tcPr>
            <w:tcW w:w="825" w:type="pct"/>
            <w:tcBorders>
              <w:top w:val="nil"/>
              <w:left w:val="nil"/>
              <w:bottom w:val="single" w:sz="4" w:space="0" w:color="auto"/>
              <w:right w:val="single" w:sz="4" w:space="0" w:color="auto"/>
            </w:tcBorders>
            <w:shd w:val="clear" w:color="auto" w:fill="FFFFFF"/>
            <w:noWrap/>
            <w:vAlign w:val="center"/>
            <w:hideMark/>
          </w:tcPr>
          <w:p w14:paraId="12651A71" w14:textId="77777777" w:rsidR="00FA2356" w:rsidRPr="00CA29CF" w:rsidRDefault="00FA2356" w:rsidP="00FB382B">
            <w:pPr>
              <w:jc w:val="right"/>
              <w:rPr>
                <w:rFonts w:ascii="Arial" w:hAnsi="Arial" w:cs="Arial"/>
                <w:sz w:val="20"/>
                <w:lang w:eastAsia="bg-BG"/>
              </w:rPr>
            </w:pPr>
            <w:r w:rsidRPr="00CA29CF">
              <w:rPr>
                <w:rFonts w:ascii="Arial" w:hAnsi="Arial" w:cs="Arial"/>
                <w:sz w:val="20"/>
                <w:lang w:eastAsia="bg-BG"/>
              </w:rPr>
              <w:t>11</w:t>
            </w:r>
          </w:p>
        </w:tc>
        <w:tc>
          <w:tcPr>
            <w:tcW w:w="881" w:type="pct"/>
            <w:tcBorders>
              <w:top w:val="nil"/>
              <w:left w:val="nil"/>
              <w:bottom w:val="single" w:sz="4" w:space="0" w:color="auto"/>
              <w:right w:val="single" w:sz="4" w:space="0" w:color="auto"/>
            </w:tcBorders>
            <w:shd w:val="clear" w:color="auto" w:fill="FFFFFF"/>
            <w:noWrap/>
            <w:vAlign w:val="center"/>
            <w:hideMark/>
          </w:tcPr>
          <w:p w14:paraId="4BB420D0" w14:textId="77777777" w:rsidR="00FA2356" w:rsidRPr="00CA29CF" w:rsidRDefault="00FA2356" w:rsidP="00FB382B">
            <w:pPr>
              <w:jc w:val="right"/>
              <w:rPr>
                <w:rFonts w:ascii="Arial" w:hAnsi="Arial" w:cs="Arial"/>
                <w:sz w:val="20"/>
                <w:lang w:eastAsia="bg-BG"/>
              </w:rPr>
            </w:pPr>
            <w:r w:rsidRPr="00CA29CF">
              <w:rPr>
                <w:rFonts w:ascii="Arial" w:hAnsi="Arial" w:cs="Arial"/>
                <w:sz w:val="20"/>
                <w:lang w:eastAsia="bg-BG"/>
              </w:rPr>
              <w:t>11</w:t>
            </w:r>
          </w:p>
        </w:tc>
      </w:tr>
      <w:tr w:rsidR="00FA2356" w:rsidRPr="00CA29CF" w14:paraId="1A964CDF" w14:textId="77777777" w:rsidTr="00FB382B">
        <w:trPr>
          <w:trHeight w:val="255"/>
        </w:trPr>
        <w:tc>
          <w:tcPr>
            <w:tcW w:w="1484" w:type="pct"/>
            <w:tcBorders>
              <w:top w:val="nil"/>
              <w:left w:val="single" w:sz="4" w:space="0" w:color="auto"/>
              <w:bottom w:val="single" w:sz="4" w:space="0" w:color="auto"/>
              <w:right w:val="nil"/>
            </w:tcBorders>
            <w:shd w:val="clear" w:color="auto" w:fill="00B0F0"/>
            <w:noWrap/>
            <w:vAlign w:val="bottom"/>
            <w:hideMark/>
          </w:tcPr>
          <w:p w14:paraId="52352BF0" w14:textId="77777777" w:rsidR="00FA2356" w:rsidRPr="00CA29CF" w:rsidRDefault="00FA2356" w:rsidP="00FB382B">
            <w:pPr>
              <w:rPr>
                <w:rFonts w:ascii="Arial" w:hAnsi="Arial" w:cs="Arial"/>
                <w:b/>
                <w:bCs/>
                <w:sz w:val="20"/>
                <w:lang w:eastAsia="bg-BG"/>
              </w:rPr>
            </w:pPr>
            <w:r w:rsidRPr="00CA29CF">
              <w:rPr>
                <w:rFonts w:ascii="Arial" w:hAnsi="Arial" w:cs="Arial"/>
                <w:b/>
                <w:bCs/>
                <w:sz w:val="20"/>
                <w:lang w:eastAsia="bg-BG"/>
              </w:rPr>
              <w:t>Общо</w:t>
            </w:r>
          </w:p>
        </w:tc>
        <w:tc>
          <w:tcPr>
            <w:tcW w:w="1047" w:type="pct"/>
            <w:tcBorders>
              <w:top w:val="nil"/>
              <w:left w:val="single" w:sz="4" w:space="0" w:color="auto"/>
              <w:bottom w:val="single" w:sz="4" w:space="0" w:color="auto"/>
              <w:right w:val="single" w:sz="4" w:space="0" w:color="auto"/>
            </w:tcBorders>
            <w:shd w:val="clear" w:color="auto" w:fill="00B0F0"/>
            <w:noWrap/>
            <w:vAlign w:val="center"/>
            <w:hideMark/>
          </w:tcPr>
          <w:p w14:paraId="5CE37B7D" w14:textId="77777777" w:rsidR="00FA2356" w:rsidRPr="00CA29CF" w:rsidRDefault="00FA2356" w:rsidP="00FB382B">
            <w:pPr>
              <w:jc w:val="right"/>
              <w:rPr>
                <w:rFonts w:ascii="Arial" w:hAnsi="Arial" w:cs="Arial"/>
                <w:b/>
                <w:bCs/>
                <w:sz w:val="20"/>
                <w:lang w:val="en-US" w:eastAsia="bg-BG"/>
              </w:rPr>
            </w:pPr>
            <w:r w:rsidRPr="00CA29CF">
              <w:rPr>
                <w:rFonts w:ascii="Arial" w:hAnsi="Arial" w:cs="Arial"/>
                <w:b/>
                <w:bCs/>
                <w:sz w:val="20"/>
                <w:lang w:eastAsia="bg-BG"/>
              </w:rPr>
              <w:t>11</w:t>
            </w:r>
          </w:p>
        </w:tc>
        <w:tc>
          <w:tcPr>
            <w:tcW w:w="763" w:type="pct"/>
            <w:tcBorders>
              <w:top w:val="nil"/>
              <w:left w:val="nil"/>
              <w:bottom w:val="single" w:sz="4" w:space="0" w:color="auto"/>
              <w:right w:val="single" w:sz="4" w:space="0" w:color="auto"/>
            </w:tcBorders>
            <w:shd w:val="clear" w:color="auto" w:fill="00B0F0"/>
            <w:noWrap/>
            <w:vAlign w:val="center"/>
            <w:hideMark/>
          </w:tcPr>
          <w:p w14:paraId="1E055A6E" w14:textId="07446DF8" w:rsidR="00FA2356" w:rsidRPr="00CA29CF" w:rsidRDefault="00FA2356" w:rsidP="00FB382B">
            <w:pPr>
              <w:jc w:val="right"/>
              <w:rPr>
                <w:rFonts w:ascii="Arial" w:hAnsi="Arial" w:cs="Arial"/>
                <w:b/>
                <w:bCs/>
                <w:sz w:val="20"/>
                <w:lang w:eastAsia="bg-BG"/>
              </w:rPr>
            </w:pPr>
            <w:r w:rsidRPr="00CA29CF">
              <w:rPr>
                <w:rFonts w:ascii="Arial" w:hAnsi="Arial" w:cs="Arial"/>
                <w:b/>
                <w:bCs/>
                <w:sz w:val="20"/>
                <w:lang w:eastAsia="bg-BG"/>
              </w:rPr>
              <w:t xml:space="preserve"> </w:t>
            </w:r>
          </w:p>
        </w:tc>
        <w:tc>
          <w:tcPr>
            <w:tcW w:w="825" w:type="pct"/>
            <w:tcBorders>
              <w:top w:val="nil"/>
              <w:left w:val="nil"/>
              <w:bottom w:val="single" w:sz="4" w:space="0" w:color="auto"/>
              <w:right w:val="single" w:sz="4" w:space="0" w:color="auto"/>
            </w:tcBorders>
            <w:shd w:val="clear" w:color="auto" w:fill="00B0F0"/>
            <w:noWrap/>
            <w:vAlign w:val="center"/>
            <w:hideMark/>
          </w:tcPr>
          <w:p w14:paraId="4E6AF6A4" w14:textId="77777777" w:rsidR="00FA2356" w:rsidRPr="00CA29CF" w:rsidRDefault="00FA2356" w:rsidP="00FB382B">
            <w:pPr>
              <w:jc w:val="right"/>
              <w:rPr>
                <w:rFonts w:ascii="Arial" w:hAnsi="Arial" w:cs="Arial"/>
                <w:b/>
                <w:bCs/>
                <w:sz w:val="20"/>
                <w:lang w:eastAsia="bg-BG"/>
              </w:rPr>
            </w:pPr>
            <w:r w:rsidRPr="00CA29CF">
              <w:rPr>
                <w:rFonts w:ascii="Arial" w:hAnsi="Arial" w:cs="Arial"/>
                <w:b/>
                <w:bCs/>
                <w:sz w:val="20"/>
                <w:lang w:eastAsia="bg-BG"/>
              </w:rPr>
              <w:t xml:space="preserve">                11 </w:t>
            </w:r>
          </w:p>
        </w:tc>
        <w:tc>
          <w:tcPr>
            <w:tcW w:w="881" w:type="pct"/>
            <w:tcBorders>
              <w:top w:val="nil"/>
              <w:left w:val="nil"/>
              <w:bottom w:val="single" w:sz="4" w:space="0" w:color="auto"/>
              <w:right w:val="single" w:sz="4" w:space="0" w:color="auto"/>
            </w:tcBorders>
            <w:shd w:val="clear" w:color="auto" w:fill="00B0F0"/>
            <w:noWrap/>
            <w:vAlign w:val="center"/>
            <w:hideMark/>
          </w:tcPr>
          <w:p w14:paraId="7884D2C2" w14:textId="77777777" w:rsidR="00FA2356" w:rsidRPr="00CA29CF" w:rsidRDefault="00FA2356" w:rsidP="00FB382B">
            <w:pPr>
              <w:jc w:val="right"/>
              <w:rPr>
                <w:rFonts w:ascii="Arial" w:hAnsi="Arial" w:cs="Arial"/>
                <w:b/>
                <w:bCs/>
                <w:sz w:val="20"/>
                <w:lang w:eastAsia="bg-BG"/>
              </w:rPr>
            </w:pPr>
            <w:r w:rsidRPr="00CA29CF">
              <w:rPr>
                <w:rFonts w:ascii="Arial" w:hAnsi="Arial" w:cs="Arial"/>
                <w:b/>
                <w:bCs/>
                <w:sz w:val="20"/>
                <w:lang w:eastAsia="bg-BG"/>
              </w:rPr>
              <w:t>11</w:t>
            </w:r>
          </w:p>
        </w:tc>
      </w:tr>
    </w:tbl>
    <w:p w14:paraId="60F8EA33" w14:textId="77777777" w:rsidR="0067669F" w:rsidRDefault="0067669F" w:rsidP="00B66DF8">
      <w:pPr>
        <w:pStyle w:val="Heading2"/>
        <w:spacing w:before="0"/>
        <w:rPr>
          <w:rFonts w:ascii="Arial" w:hAnsi="Arial" w:cs="Arial"/>
          <w:i/>
          <w:sz w:val="20"/>
          <w:szCs w:val="20"/>
          <w:lang w:val="bg-BG"/>
        </w:rPr>
      </w:pPr>
      <w:bookmarkStart w:id="172" w:name="_Toc164268386"/>
      <w:bookmarkEnd w:id="170"/>
      <w:bookmarkEnd w:id="171"/>
    </w:p>
    <w:p w14:paraId="148F7055" w14:textId="77777777" w:rsidR="00B66DF8" w:rsidRPr="00B14C47" w:rsidRDefault="00556B2F" w:rsidP="00B66DF8">
      <w:pPr>
        <w:pStyle w:val="Heading2"/>
        <w:spacing w:before="0"/>
        <w:rPr>
          <w:rFonts w:ascii="Arial" w:hAnsi="Arial" w:cs="Arial"/>
          <w:i/>
          <w:sz w:val="20"/>
          <w:szCs w:val="20"/>
          <w:lang w:val="bg-BG"/>
        </w:rPr>
      </w:pPr>
      <w:r w:rsidRPr="00B14C47">
        <w:rPr>
          <w:rFonts w:ascii="Arial" w:hAnsi="Arial" w:cs="Arial"/>
          <w:i/>
          <w:sz w:val="20"/>
          <w:szCs w:val="20"/>
          <w:lang w:val="bg-BG"/>
        </w:rPr>
        <w:t>2</w:t>
      </w:r>
      <w:r w:rsidR="00B66DF8" w:rsidRPr="00B14C47">
        <w:rPr>
          <w:rFonts w:ascii="Arial" w:hAnsi="Arial" w:cs="Arial"/>
          <w:i/>
          <w:sz w:val="20"/>
          <w:szCs w:val="20"/>
          <w:lang w:val="bg-BG"/>
        </w:rPr>
        <w:t>. Цели и политика за управление на финансовия риск</w:t>
      </w:r>
      <w:bookmarkEnd w:id="167"/>
      <w:bookmarkEnd w:id="168"/>
      <w:bookmarkEnd w:id="169"/>
      <w:bookmarkEnd w:id="172"/>
      <w:r w:rsidR="00B66DF8" w:rsidRPr="00B14C47">
        <w:rPr>
          <w:rFonts w:ascii="Arial" w:hAnsi="Arial" w:cs="Arial"/>
          <w:i/>
          <w:sz w:val="20"/>
          <w:szCs w:val="20"/>
          <w:lang w:val="bg-BG"/>
        </w:rPr>
        <w:tab/>
      </w:r>
    </w:p>
    <w:p w14:paraId="5DD53290"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При осъществяване на своята текуща, инвестиционна и финансова дейност, Дружеството е изложено на следните финансови рискове:</w:t>
      </w:r>
    </w:p>
    <w:p w14:paraId="5701954E"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Кредитен риск: възможността длъжник да не изплати заем – изцяло или частично – или да не го изплати своевременно, предизвиквайки по този начин загуба за Дружеството;</w:t>
      </w:r>
    </w:p>
    <w:p w14:paraId="72C9A6C0"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Ликвиден риск: рискът компанията да няма или да не е в състояние да набави парични средства, когато са необходими и поради това да срещне трудности при изпълнение на своите финансови задължения;</w:t>
      </w:r>
    </w:p>
    <w:p w14:paraId="3D0F16A6"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Пазарен риск: рискът определен финансов инструмент да претърпи колебания по отношение на справедливата стойност или на бъдещите парични потоци в резултат на колебания на пазарните цени. Всъщност Дружеството е изложено на три компонента на пазарния риск:</w:t>
      </w:r>
    </w:p>
    <w:p w14:paraId="06E4C4BC"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Лихвен риск;</w:t>
      </w:r>
    </w:p>
    <w:p w14:paraId="115C1F64"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Валутен риск;</w:t>
      </w:r>
    </w:p>
    <w:p w14:paraId="162CF08F"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Риск от промяна в цената на собствения капитал.</w:t>
      </w:r>
    </w:p>
    <w:p w14:paraId="55155E63"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xml:space="preserve">За ефективно управление на тези рискове, Бордът на директорите е одобрил специфични стратегии за мениджмънт на финансовия риск, които са в съответствие с корпоративните цели. Основните насоки на тези стратегии определят краткосрочните и дългосрочните цели и действия, които трябва да се предприемат, за да се управляват финансовите рискове, пред които е изправено Дружеството. </w:t>
      </w:r>
    </w:p>
    <w:p w14:paraId="2FD2DDE6"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Основните насоки на политиката по отношение на финансовите рискове са следните:</w:t>
      </w:r>
    </w:p>
    <w:p w14:paraId="4797838A"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Минимизиране на лихвения риск, валутния риск и ценовия риск за всички видове сделки;</w:t>
      </w:r>
    </w:p>
    <w:p w14:paraId="1A9E2DCF"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Максимално използване на „естественото хеджиране”, при което в максимална възможна степен се залага на естественото прихващане на продажби, разходи, дължими суми и вземания, преизчислени в съответната валута, вследствие на което се налага прилагане на стратегии на хеджиране само за салдата в превишение. Същата стратегия се прилага и по отношение на лихвения риск;</w:t>
      </w:r>
    </w:p>
    <w:p w14:paraId="41502E86"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Внедряване на деривативи или други подобни инструменти единствено за целите на хеджиране;</w:t>
      </w:r>
    </w:p>
    <w:p w14:paraId="3C1599BB"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Всички дейности по управление на финансовия риск се осъществяват и контролират на централно ниво;</w:t>
      </w:r>
    </w:p>
    <w:p w14:paraId="23B7669D"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Всички дейности по управление на финансовия риск се осъществяват на разумна и последователна основа и при спазване на най-добрите пазарни практики.</w:t>
      </w:r>
    </w:p>
    <w:p w14:paraId="4DE85A0B"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Дружеството може да инвестира в акции или други подобни инструменти само в случай, че е налице временна допълнителна ликвидност, като за всички подобни сделки е необходимо разрешение от Съвета  на директорите.</w:t>
      </w:r>
    </w:p>
    <w:p w14:paraId="65D33CFF"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Политиките на дружеството за управление на риска по деривативите са следните:</w:t>
      </w:r>
    </w:p>
    <w:p w14:paraId="73D7FD24"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Внимателно документиране на всички деривативи, включително и връзките помежду им, както и хеджираните позиции към началната дата и в течение на целия им живот;</w:t>
      </w:r>
    </w:p>
    <w:p w14:paraId="40174D9B"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Признаване на случаите на недействителност в консолидирания отчет за печалбата или загубата и другия всеобхватен доход веднага, щом възникне такава недействителност;</w:t>
      </w:r>
    </w:p>
    <w:p w14:paraId="59091324"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lastRenderedPageBreak/>
        <w:t>•</w:t>
      </w:r>
      <w:r w:rsidRPr="00B14C47">
        <w:rPr>
          <w:rFonts w:ascii="Arial" w:hAnsi="Arial" w:cs="Arial"/>
          <w:sz w:val="20"/>
        </w:rPr>
        <w:tab/>
        <w:t>Оценяване на ефективността на хеджиране към началната дата и към всяка следваща отчетна дата, като се гарантира, че са спазени критериите на IAS 39 (МСС 39);</w:t>
      </w:r>
    </w:p>
    <w:p w14:paraId="4C303221"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Използване само на висококачествени финансови институции като насрещна страна при Деривативите.</w:t>
      </w:r>
    </w:p>
    <w:p w14:paraId="700004F6" w14:textId="77777777" w:rsidR="00EC17E2" w:rsidRPr="00B14C47" w:rsidRDefault="00EC17E2" w:rsidP="00EC17E2">
      <w:pPr>
        <w:pStyle w:val="Style47"/>
        <w:widowControl/>
        <w:jc w:val="both"/>
        <w:rPr>
          <w:rFonts w:eastAsia="Times New Roman"/>
          <w:sz w:val="20"/>
          <w:szCs w:val="20"/>
          <w:lang w:eastAsia="en-US"/>
        </w:rPr>
      </w:pPr>
      <w:r w:rsidRPr="00B14C47">
        <w:rPr>
          <w:rFonts w:eastAsia="Times New Roman"/>
          <w:sz w:val="20"/>
          <w:szCs w:val="20"/>
          <w:lang w:eastAsia="en-US"/>
        </w:rPr>
        <w:t>В следващата таблица е представен анализ на финансовите инструменти, измерени след първоначалното им признаване по справедлива стойност, групирани в нива от 1 до 3 в зависимост от степента, в която е наблюдаема (е възможно да се наблюдава) тяхната справедлива стойност:</w:t>
      </w:r>
    </w:p>
    <w:p w14:paraId="4BCB3D90" w14:textId="77777777" w:rsidR="00EC17E2" w:rsidRPr="00B14C47" w:rsidRDefault="00EC17E2" w:rsidP="00EC17E2">
      <w:pPr>
        <w:pStyle w:val="Style50"/>
        <w:widowControl/>
        <w:tabs>
          <w:tab w:val="left" w:pos="422"/>
        </w:tabs>
        <w:spacing w:line="240" w:lineRule="auto"/>
        <w:ind w:left="302" w:hanging="302"/>
        <w:jc w:val="both"/>
        <w:rPr>
          <w:rFonts w:eastAsia="Times New Roman"/>
          <w:sz w:val="20"/>
          <w:szCs w:val="20"/>
          <w:lang w:eastAsia="en-US"/>
        </w:rPr>
      </w:pPr>
      <w:r w:rsidRPr="00B14C47">
        <w:rPr>
          <w:rFonts w:eastAsia="Times New Roman"/>
          <w:sz w:val="20"/>
          <w:szCs w:val="20"/>
          <w:lang w:eastAsia="en-US"/>
        </w:rPr>
        <w:t>•</w:t>
      </w:r>
      <w:r w:rsidRPr="00B14C47">
        <w:rPr>
          <w:rFonts w:eastAsia="Times New Roman"/>
          <w:sz w:val="20"/>
          <w:szCs w:val="20"/>
          <w:lang w:eastAsia="en-US"/>
        </w:rPr>
        <w:tab/>
        <w:t>Ниво 1 - Измерванията на справедливата стойност се базират на котираните цени (некоригирани) на активните пазари за идентични активи или пасиви;</w:t>
      </w:r>
    </w:p>
    <w:p w14:paraId="4F05A23E" w14:textId="77777777" w:rsidR="00EC17E2" w:rsidRPr="00B14C47" w:rsidRDefault="00EC17E2" w:rsidP="00EC17E2">
      <w:pPr>
        <w:pStyle w:val="Style50"/>
        <w:widowControl/>
        <w:tabs>
          <w:tab w:val="left" w:pos="422"/>
        </w:tabs>
        <w:spacing w:line="240" w:lineRule="auto"/>
        <w:ind w:left="302" w:hanging="302"/>
        <w:jc w:val="both"/>
        <w:rPr>
          <w:rFonts w:eastAsia="Times New Roman"/>
          <w:sz w:val="20"/>
          <w:szCs w:val="20"/>
          <w:lang w:eastAsia="en-US"/>
        </w:rPr>
      </w:pPr>
      <w:r w:rsidRPr="00B14C47">
        <w:rPr>
          <w:rFonts w:eastAsia="Times New Roman"/>
          <w:sz w:val="20"/>
          <w:szCs w:val="20"/>
          <w:lang w:eastAsia="en-US"/>
        </w:rPr>
        <w:t>•</w:t>
      </w:r>
      <w:r w:rsidRPr="00B14C47">
        <w:rPr>
          <w:rFonts w:eastAsia="Times New Roman"/>
          <w:sz w:val="20"/>
          <w:szCs w:val="20"/>
          <w:lang w:eastAsia="en-US"/>
        </w:rPr>
        <w:tab/>
        <w:t>Ниво 2 - Измерванията на справедливата стойност се базират на изходна информация, различна от котираните цени при Ниво 1, като тази информация е наблюдаема за актива или пасива директно (т.е. като цени) или индиректно (т.е. произтича от цените);</w:t>
      </w:r>
    </w:p>
    <w:p w14:paraId="262DF1B4" w14:textId="77777777" w:rsidR="00EC17E2" w:rsidRPr="00B14C47" w:rsidRDefault="00EC17E2" w:rsidP="00EC17E2">
      <w:pPr>
        <w:pStyle w:val="Style50"/>
        <w:widowControl/>
        <w:tabs>
          <w:tab w:val="left" w:pos="422"/>
        </w:tabs>
        <w:spacing w:line="240" w:lineRule="auto"/>
        <w:ind w:left="302" w:hanging="302"/>
        <w:jc w:val="both"/>
        <w:rPr>
          <w:rFonts w:eastAsia="Times New Roman"/>
          <w:sz w:val="20"/>
          <w:szCs w:val="20"/>
          <w:lang w:eastAsia="en-US"/>
        </w:rPr>
      </w:pPr>
      <w:r w:rsidRPr="00B14C47">
        <w:rPr>
          <w:rFonts w:eastAsia="Times New Roman"/>
          <w:sz w:val="20"/>
          <w:szCs w:val="20"/>
          <w:lang w:eastAsia="en-US"/>
        </w:rPr>
        <w:t>•</w:t>
      </w:r>
      <w:r w:rsidRPr="00B14C47">
        <w:rPr>
          <w:rFonts w:eastAsia="Times New Roman"/>
          <w:sz w:val="20"/>
          <w:szCs w:val="20"/>
          <w:lang w:eastAsia="en-US"/>
        </w:rPr>
        <w:tab/>
        <w:t>Ниво 3 - Измерванията на справедливата стойност се базират на техники на оценка, които включват входяща информация за актива или пасива, която не се базира на наблюдаеми пазарни данни (ненаблюдаема входяща информация).</w:t>
      </w:r>
    </w:p>
    <w:p w14:paraId="4B9E3D50" w14:textId="77777777" w:rsidR="00EC17E2" w:rsidRPr="00B14C47" w:rsidRDefault="00EC17E2" w:rsidP="00EC17E2">
      <w:pPr>
        <w:pStyle w:val="Heading2"/>
        <w:tabs>
          <w:tab w:val="left" w:pos="227"/>
          <w:tab w:val="left" w:pos="454"/>
          <w:tab w:val="left" w:pos="680"/>
          <w:tab w:val="left" w:pos="907"/>
        </w:tabs>
        <w:spacing w:before="0" w:after="120"/>
        <w:rPr>
          <w:rFonts w:ascii="Arial" w:hAnsi="Arial" w:cs="Arial"/>
          <w:b w:val="0"/>
          <w:bCs w:val="0"/>
          <w:i/>
          <w:iCs/>
          <w:sz w:val="20"/>
          <w:szCs w:val="20"/>
        </w:rPr>
      </w:pPr>
      <w:bookmarkStart w:id="173" w:name="_Toc247959210"/>
      <w:bookmarkStart w:id="174" w:name="_Toc473125072"/>
      <w:bookmarkStart w:id="175" w:name="_Toc4683432"/>
      <w:bookmarkStart w:id="176" w:name="_Toc4685326"/>
      <w:bookmarkStart w:id="177" w:name="_Toc4692220"/>
      <w:bookmarkStart w:id="178" w:name="_Toc67568192"/>
      <w:bookmarkStart w:id="179" w:name="_Toc96871916"/>
      <w:bookmarkStart w:id="180" w:name="_Toc129350907"/>
      <w:bookmarkStart w:id="181" w:name="_Toc160806750"/>
      <w:bookmarkStart w:id="182" w:name="_Toc164268387"/>
      <w:r w:rsidRPr="00B14C47">
        <w:rPr>
          <w:rFonts w:ascii="Arial" w:hAnsi="Arial" w:cs="Arial"/>
          <w:b w:val="0"/>
          <w:bCs w:val="0"/>
          <w:i/>
          <w:iCs/>
          <w:sz w:val="20"/>
          <w:szCs w:val="20"/>
        </w:rPr>
        <w:t>Оценка</w:t>
      </w:r>
      <w:bookmarkEnd w:id="173"/>
      <w:bookmarkEnd w:id="174"/>
      <w:bookmarkEnd w:id="175"/>
      <w:bookmarkEnd w:id="176"/>
      <w:bookmarkEnd w:id="177"/>
      <w:bookmarkEnd w:id="178"/>
      <w:bookmarkEnd w:id="179"/>
      <w:bookmarkEnd w:id="180"/>
      <w:bookmarkEnd w:id="181"/>
      <w:bookmarkEnd w:id="182"/>
    </w:p>
    <w:p w14:paraId="10A30560" w14:textId="77777777" w:rsidR="00EC17E2" w:rsidRPr="00B14C47" w:rsidRDefault="00EC17E2" w:rsidP="00EC17E2">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r w:rsidRPr="00B14C47">
        <w:rPr>
          <w:rFonts w:ascii="Arial" w:hAnsi="Arial" w:cs="Arial"/>
          <w:sz w:val="20"/>
        </w:rPr>
        <w:t>Прилаганите счетоводни политики за оценка на финансовите активи и пасиви са както следва:</w:t>
      </w:r>
    </w:p>
    <w:tbl>
      <w:tblPr>
        <w:tblW w:w="0" w:type="auto"/>
        <w:tblLayout w:type="fixed"/>
        <w:tblCellMar>
          <w:left w:w="29" w:type="dxa"/>
          <w:right w:w="29" w:type="dxa"/>
        </w:tblCellMar>
        <w:tblLook w:val="0000" w:firstRow="0" w:lastRow="0" w:firstColumn="0" w:lastColumn="0" w:noHBand="0" w:noVBand="0"/>
      </w:tblPr>
      <w:tblGrid>
        <w:gridCol w:w="1730"/>
        <w:gridCol w:w="142"/>
        <w:gridCol w:w="1701"/>
        <w:gridCol w:w="142"/>
        <w:gridCol w:w="5094"/>
      </w:tblGrid>
      <w:tr w:rsidR="00EC17E2" w:rsidRPr="00B14C47" w14:paraId="5B978114" w14:textId="77777777" w:rsidTr="003833F6">
        <w:trPr>
          <w:cantSplit/>
        </w:trPr>
        <w:tc>
          <w:tcPr>
            <w:tcW w:w="1730" w:type="dxa"/>
            <w:tcBorders>
              <w:bottom w:val="single" w:sz="6" w:space="0" w:color="auto"/>
            </w:tcBorders>
          </w:tcPr>
          <w:p w14:paraId="5911E926" w14:textId="77777777" w:rsidR="00EC17E2" w:rsidRPr="00B14C47" w:rsidRDefault="00EC17E2" w:rsidP="003833F6">
            <w:pPr>
              <w:tabs>
                <w:tab w:val="left" w:pos="780"/>
                <w:tab w:val="center" w:pos="1190"/>
              </w:tabs>
              <w:rPr>
                <w:rFonts w:ascii="Arial" w:hAnsi="Arial" w:cs="Arial"/>
                <w:sz w:val="20"/>
              </w:rPr>
            </w:pPr>
            <w:r w:rsidRPr="00B14C47">
              <w:rPr>
                <w:rFonts w:ascii="Arial" w:hAnsi="Arial" w:cs="Arial"/>
                <w:sz w:val="20"/>
              </w:rPr>
              <w:t>Вид актив / пасив</w:t>
            </w:r>
          </w:p>
        </w:tc>
        <w:tc>
          <w:tcPr>
            <w:tcW w:w="142" w:type="dxa"/>
          </w:tcPr>
          <w:p w14:paraId="1F2A3644" w14:textId="77777777" w:rsidR="00EC17E2" w:rsidRPr="00B14C47" w:rsidRDefault="00EC17E2" w:rsidP="003833F6">
            <w:pPr>
              <w:ind w:right="-18"/>
              <w:rPr>
                <w:rFonts w:ascii="Arial" w:hAnsi="Arial" w:cs="Arial"/>
                <w:sz w:val="20"/>
              </w:rPr>
            </w:pPr>
          </w:p>
        </w:tc>
        <w:tc>
          <w:tcPr>
            <w:tcW w:w="1701" w:type="dxa"/>
            <w:tcBorders>
              <w:bottom w:val="single" w:sz="6" w:space="0" w:color="auto"/>
            </w:tcBorders>
          </w:tcPr>
          <w:p w14:paraId="317091EA" w14:textId="77777777" w:rsidR="00EC17E2" w:rsidRPr="00B14C47" w:rsidRDefault="00EC17E2" w:rsidP="003833F6">
            <w:pPr>
              <w:rPr>
                <w:rFonts w:ascii="Arial" w:hAnsi="Arial" w:cs="Arial"/>
                <w:sz w:val="20"/>
              </w:rPr>
            </w:pPr>
            <w:r w:rsidRPr="00B14C47">
              <w:rPr>
                <w:rFonts w:ascii="Arial" w:hAnsi="Arial" w:cs="Arial"/>
                <w:sz w:val="20"/>
              </w:rPr>
              <w:t>Класификация</w:t>
            </w:r>
          </w:p>
        </w:tc>
        <w:tc>
          <w:tcPr>
            <w:tcW w:w="142" w:type="dxa"/>
          </w:tcPr>
          <w:p w14:paraId="469A9539" w14:textId="77777777" w:rsidR="00EC17E2" w:rsidRPr="00B14C47" w:rsidRDefault="00EC17E2" w:rsidP="003833F6">
            <w:pPr>
              <w:ind w:right="-18"/>
              <w:rPr>
                <w:rFonts w:ascii="Arial" w:hAnsi="Arial" w:cs="Arial"/>
                <w:sz w:val="20"/>
              </w:rPr>
            </w:pPr>
          </w:p>
        </w:tc>
        <w:tc>
          <w:tcPr>
            <w:tcW w:w="5094" w:type="dxa"/>
            <w:tcBorders>
              <w:bottom w:val="single" w:sz="6" w:space="0" w:color="auto"/>
            </w:tcBorders>
          </w:tcPr>
          <w:p w14:paraId="335B9608" w14:textId="77777777" w:rsidR="00EC17E2" w:rsidRPr="00B14C47" w:rsidRDefault="00EC17E2" w:rsidP="003833F6">
            <w:pPr>
              <w:rPr>
                <w:rFonts w:ascii="Arial" w:hAnsi="Arial" w:cs="Arial"/>
                <w:sz w:val="20"/>
              </w:rPr>
            </w:pPr>
            <w:r w:rsidRPr="00B14C47">
              <w:rPr>
                <w:rFonts w:ascii="Arial" w:hAnsi="Arial" w:cs="Arial"/>
                <w:sz w:val="20"/>
              </w:rPr>
              <w:t>База за оценка</w:t>
            </w:r>
          </w:p>
        </w:tc>
      </w:tr>
      <w:tr w:rsidR="00EC17E2" w:rsidRPr="00B14C47" w14:paraId="0220F0FA" w14:textId="77777777" w:rsidTr="003833F6">
        <w:trPr>
          <w:cantSplit/>
          <w:trHeight w:hRule="exact" w:val="140"/>
        </w:trPr>
        <w:tc>
          <w:tcPr>
            <w:tcW w:w="1730" w:type="dxa"/>
            <w:tcBorders>
              <w:top w:val="single" w:sz="6" w:space="0" w:color="auto"/>
            </w:tcBorders>
          </w:tcPr>
          <w:p w14:paraId="5E3FC3BD" w14:textId="77777777" w:rsidR="00EC17E2" w:rsidRPr="00B14C47" w:rsidRDefault="00EC17E2" w:rsidP="003833F6">
            <w:pPr>
              <w:ind w:right="792"/>
              <w:rPr>
                <w:rFonts w:ascii="Arial" w:hAnsi="Arial" w:cs="Arial"/>
                <w:sz w:val="20"/>
              </w:rPr>
            </w:pPr>
          </w:p>
        </w:tc>
        <w:tc>
          <w:tcPr>
            <w:tcW w:w="142" w:type="dxa"/>
          </w:tcPr>
          <w:p w14:paraId="4F4523F1" w14:textId="77777777" w:rsidR="00EC17E2" w:rsidRPr="00B14C47" w:rsidRDefault="00EC17E2" w:rsidP="003833F6">
            <w:pPr>
              <w:ind w:right="-18"/>
              <w:jc w:val="center"/>
              <w:rPr>
                <w:rFonts w:ascii="Arial" w:hAnsi="Arial" w:cs="Arial"/>
                <w:sz w:val="20"/>
              </w:rPr>
            </w:pPr>
          </w:p>
        </w:tc>
        <w:tc>
          <w:tcPr>
            <w:tcW w:w="1701" w:type="dxa"/>
            <w:tcBorders>
              <w:top w:val="single" w:sz="6" w:space="0" w:color="auto"/>
            </w:tcBorders>
          </w:tcPr>
          <w:p w14:paraId="2A80BF2D" w14:textId="77777777" w:rsidR="00EC17E2" w:rsidRPr="00B14C47" w:rsidRDefault="00EC17E2" w:rsidP="003833F6">
            <w:pPr>
              <w:jc w:val="center"/>
              <w:rPr>
                <w:rFonts w:ascii="Arial" w:hAnsi="Arial" w:cs="Arial"/>
                <w:sz w:val="20"/>
              </w:rPr>
            </w:pPr>
          </w:p>
        </w:tc>
        <w:tc>
          <w:tcPr>
            <w:tcW w:w="142" w:type="dxa"/>
          </w:tcPr>
          <w:p w14:paraId="2832E708" w14:textId="77777777" w:rsidR="00EC17E2" w:rsidRPr="00B14C47" w:rsidRDefault="00EC17E2" w:rsidP="003833F6">
            <w:pPr>
              <w:ind w:right="-18"/>
              <w:jc w:val="center"/>
              <w:rPr>
                <w:rFonts w:ascii="Arial" w:hAnsi="Arial" w:cs="Arial"/>
                <w:sz w:val="20"/>
              </w:rPr>
            </w:pPr>
          </w:p>
        </w:tc>
        <w:tc>
          <w:tcPr>
            <w:tcW w:w="5094" w:type="dxa"/>
            <w:tcBorders>
              <w:top w:val="single" w:sz="6" w:space="0" w:color="auto"/>
            </w:tcBorders>
          </w:tcPr>
          <w:p w14:paraId="43D5F4E6" w14:textId="77777777" w:rsidR="00EC17E2" w:rsidRPr="00B14C47" w:rsidRDefault="00EC17E2" w:rsidP="003833F6">
            <w:pPr>
              <w:jc w:val="center"/>
              <w:rPr>
                <w:rFonts w:ascii="Arial" w:hAnsi="Arial" w:cs="Arial"/>
                <w:sz w:val="20"/>
              </w:rPr>
            </w:pPr>
          </w:p>
        </w:tc>
      </w:tr>
      <w:tr w:rsidR="00EC17E2" w:rsidRPr="00B14C47" w14:paraId="38A1F465" w14:textId="77777777" w:rsidTr="003833F6">
        <w:trPr>
          <w:cantSplit/>
        </w:trPr>
        <w:tc>
          <w:tcPr>
            <w:tcW w:w="1730" w:type="dxa"/>
          </w:tcPr>
          <w:p w14:paraId="44C95CF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Парични средства</w:t>
            </w:r>
          </w:p>
        </w:tc>
        <w:tc>
          <w:tcPr>
            <w:tcW w:w="142" w:type="dxa"/>
          </w:tcPr>
          <w:p w14:paraId="7C0162A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5C31899C"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Парични средства</w:t>
            </w:r>
          </w:p>
        </w:tc>
        <w:tc>
          <w:tcPr>
            <w:tcW w:w="142" w:type="dxa"/>
          </w:tcPr>
          <w:p w14:paraId="73791EA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089AE077"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r w:rsidR="00EC17E2" w:rsidRPr="00B14C47" w14:paraId="6363EA2A" w14:textId="77777777" w:rsidTr="003833F6">
        <w:trPr>
          <w:cantSplit/>
          <w:trHeight w:hRule="exact" w:val="140"/>
        </w:trPr>
        <w:tc>
          <w:tcPr>
            <w:tcW w:w="1730" w:type="dxa"/>
          </w:tcPr>
          <w:p w14:paraId="3829A540" w14:textId="77777777" w:rsidR="00EC17E2" w:rsidRPr="00B14C47" w:rsidRDefault="00EC17E2" w:rsidP="003833F6">
            <w:pPr>
              <w:ind w:right="792"/>
              <w:rPr>
                <w:rFonts w:ascii="Arial" w:hAnsi="Arial" w:cs="Arial"/>
                <w:sz w:val="20"/>
              </w:rPr>
            </w:pPr>
          </w:p>
        </w:tc>
        <w:tc>
          <w:tcPr>
            <w:tcW w:w="142" w:type="dxa"/>
          </w:tcPr>
          <w:p w14:paraId="30B56AEF" w14:textId="77777777" w:rsidR="00EC17E2" w:rsidRPr="00B14C47" w:rsidRDefault="00EC17E2" w:rsidP="003833F6">
            <w:pPr>
              <w:ind w:right="-18"/>
              <w:jc w:val="center"/>
              <w:rPr>
                <w:rFonts w:ascii="Arial" w:hAnsi="Arial" w:cs="Arial"/>
                <w:sz w:val="20"/>
              </w:rPr>
            </w:pPr>
          </w:p>
        </w:tc>
        <w:tc>
          <w:tcPr>
            <w:tcW w:w="1701" w:type="dxa"/>
          </w:tcPr>
          <w:p w14:paraId="3AD40EC4" w14:textId="77777777" w:rsidR="00EC17E2" w:rsidRPr="00B14C47" w:rsidRDefault="00EC17E2" w:rsidP="003833F6">
            <w:pPr>
              <w:jc w:val="center"/>
              <w:rPr>
                <w:rFonts w:ascii="Arial" w:hAnsi="Arial" w:cs="Arial"/>
                <w:sz w:val="20"/>
              </w:rPr>
            </w:pPr>
          </w:p>
        </w:tc>
        <w:tc>
          <w:tcPr>
            <w:tcW w:w="142" w:type="dxa"/>
          </w:tcPr>
          <w:p w14:paraId="74475B07" w14:textId="77777777" w:rsidR="00EC17E2" w:rsidRPr="00B14C47" w:rsidRDefault="00EC17E2" w:rsidP="003833F6">
            <w:pPr>
              <w:ind w:right="-18"/>
              <w:jc w:val="center"/>
              <w:rPr>
                <w:rFonts w:ascii="Arial" w:hAnsi="Arial" w:cs="Arial"/>
                <w:sz w:val="20"/>
              </w:rPr>
            </w:pPr>
          </w:p>
        </w:tc>
        <w:tc>
          <w:tcPr>
            <w:tcW w:w="5094" w:type="dxa"/>
          </w:tcPr>
          <w:p w14:paraId="707C15F9" w14:textId="77777777" w:rsidR="00EC17E2" w:rsidRPr="00B14C47" w:rsidRDefault="00EC17E2" w:rsidP="003833F6">
            <w:pPr>
              <w:jc w:val="center"/>
              <w:rPr>
                <w:rFonts w:ascii="Arial" w:hAnsi="Arial" w:cs="Arial"/>
                <w:sz w:val="20"/>
              </w:rPr>
            </w:pPr>
          </w:p>
        </w:tc>
      </w:tr>
      <w:tr w:rsidR="00EC17E2" w:rsidRPr="00B14C47" w14:paraId="02072537" w14:textId="77777777" w:rsidTr="003833F6">
        <w:trPr>
          <w:cantSplit/>
        </w:trPr>
        <w:tc>
          <w:tcPr>
            <w:tcW w:w="1730" w:type="dxa"/>
          </w:tcPr>
          <w:p w14:paraId="0B1B3F14"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Блокирани парични средства</w:t>
            </w:r>
          </w:p>
        </w:tc>
        <w:tc>
          <w:tcPr>
            <w:tcW w:w="142" w:type="dxa"/>
          </w:tcPr>
          <w:p w14:paraId="2F4F925F"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1AAF1184"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Блокирани парични средства</w:t>
            </w:r>
          </w:p>
        </w:tc>
        <w:tc>
          <w:tcPr>
            <w:tcW w:w="142" w:type="dxa"/>
          </w:tcPr>
          <w:p w14:paraId="493FC7F9"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2EE77F3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r w:rsidR="00EC17E2" w:rsidRPr="00B14C47" w14:paraId="1AB898BE" w14:textId="77777777" w:rsidTr="003833F6">
        <w:trPr>
          <w:cantSplit/>
          <w:trHeight w:hRule="exact" w:val="140"/>
        </w:trPr>
        <w:tc>
          <w:tcPr>
            <w:tcW w:w="1730" w:type="dxa"/>
          </w:tcPr>
          <w:p w14:paraId="672B5B1C" w14:textId="77777777" w:rsidR="00EC17E2" w:rsidRPr="00B14C47" w:rsidRDefault="00EC17E2" w:rsidP="003833F6">
            <w:pPr>
              <w:ind w:right="792"/>
              <w:rPr>
                <w:rFonts w:ascii="Arial" w:hAnsi="Arial" w:cs="Arial"/>
                <w:sz w:val="20"/>
              </w:rPr>
            </w:pPr>
          </w:p>
        </w:tc>
        <w:tc>
          <w:tcPr>
            <w:tcW w:w="142" w:type="dxa"/>
          </w:tcPr>
          <w:p w14:paraId="055340DB" w14:textId="77777777" w:rsidR="00EC17E2" w:rsidRPr="00B14C47" w:rsidRDefault="00EC17E2" w:rsidP="003833F6">
            <w:pPr>
              <w:ind w:right="-18"/>
              <w:jc w:val="center"/>
              <w:rPr>
                <w:rFonts w:ascii="Arial" w:hAnsi="Arial" w:cs="Arial"/>
                <w:sz w:val="20"/>
              </w:rPr>
            </w:pPr>
          </w:p>
        </w:tc>
        <w:tc>
          <w:tcPr>
            <w:tcW w:w="1701" w:type="dxa"/>
          </w:tcPr>
          <w:p w14:paraId="65EBC974" w14:textId="77777777" w:rsidR="00EC17E2" w:rsidRPr="00B14C47" w:rsidRDefault="00EC17E2" w:rsidP="003833F6">
            <w:pPr>
              <w:jc w:val="center"/>
              <w:rPr>
                <w:rFonts w:ascii="Arial" w:hAnsi="Arial" w:cs="Arial"/>
                <w:sz w:val="20"/>
              </w:rPr>
            </w:pPr>
          </w:p>
        </w:tc>
        <w:tc>
          <w:tcPr>
            <w:tcW w:w="142" w:type="dxa"/>
          </w:tcPr>
          <w:p w14:paraId="219C5450" w14:textId="77777777" w:rsidR="00EC17E2" w:rsidRPr="00B14C47" w:rsidRDefault="00EC17E2" w:rsidP="003833F6">
            <w:pPr>
              <w:ind w:right="-18"/>
              <w:jc w:val="center"/>
              <w:rPr>
                <w:rFonts w:ascii="Arial" w:hAnsi="Arial" w:cs="Arial"/>
                <w:sz w:val="20"/>
              </w:rPr>
            </w:pPr>
          </w:p>
        </w:tc>
        <w:tc>
          <w:tcPr>
            <w:tcW w:w="5094" w:type="dxa"/>
          </w:tcPr>
          <w:p w14:paraId="055B4D7E" w14:textId="77777777" w:rsidR="00EC17E2" w:rsidRPr="00B14C47" w:rsidRDefault="00EC17E2" w:rsidP="003833F6">
            <w:pPr>
              <w:jc w:val="center"/>
              <w:rPr>
                <w:rFonts w:ascii="Arial" w:hAnsi="Arial" w:cs="Arial"/>
                <w:sz w:val="20"/>
              </w:rPr>
            </w:pPr>
          </w:p>
        </w:tc>
      </w:tr>
      <w:tr w:rsidR="00EC17E2" w:rsidRPr="00B14C47" w14:paraId="7206021E" w14:textId="77777777" w:rsidTr="003833F6">
        <w:trPr>
          <w:cantSplit/>
        </w:trPr>
        <w:tc>
          <w:tcPr>
            <w:tcW w:w="1730" w:type="dxa"/>
          </w:tcPr>
          <w:p w14:paraId="36C86CD1"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Краткосрочни и дългосрочни заеми</w:t>
            </w:r>
          </w:p>
        </w:tc>
        <w:tc>
          <w:tcPr>
            <w:tcW w:w="142" w:type="dxa"/>
          </w:tcPr>
          <w:p w14:paraId="420365D1"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1765DF3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 xml:space="preserve"> Финансов пасив</w:t>
            </w:r>
          </w:p>
        </w:tc>
        <w:tc>
          <w:tcPr>
            <w:tcW w:w="142" w:type="dxa"/>
          </w:tcPr>
          <w:p w14:paraId="3A31F89C"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2A1B3D28"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r w:rsidR="00EC17E2" w:rsidRPr="00B14C47" w14:paraId="5A467608" w14:textId="77777777" w:rsidTr="003833F6">
        <w:trPr>
          <w:cantSplit/>
          <w:trHeight w:hRule="exact" w:val="140"/>
        </w:trPr>
        <w:tc>
          <w:tcPr>
            <w:tcW w:w="1730" w:type="dxa"/>
          </w:tcPr>
          <w:p w14:paraId="6B8C29E3" w14:textId="77777777" w:rsidR="00EC17E2" w:rsidRPr="00B14C47" w:rsidRDefault="00EC17E2" w:rsidP="003833F6">
            <w:pPr>
              <w:ind w:right="792"/>
              <w:rPr>
                <w:rFonts w:ascii="Arial" w:hAnsi="Arial" w:cs="Arial"/>
                <w:sz w:val="20"/>
              </w:rPr>
            </w:pPr>
          </w:p>
        </w:tc>
        <w:tc>
          <w:tcPr>
            <w:tcW w:w="142" w:type="dxa"/>
          </w:tcPr>
          <w:p w14:paraId="7B2FE65E" w14:textId="77777777" w:rsidR="00EC17E2" w:rsidRPr="00B14C47" w:rsidRDefault="00EC17E2" w:rsidP="003833F6">
            <w:pPr>
              <w:ind w:right="-18"/>
              <w:jc w:val="center"/>
              <w:rPr>
                <w:rFonts w:ascii="Arial" w:hAnsi="Arial" w:cs="Arial"/>
                <w:sz w:val="20"/>
              </w:rPr>
            </w:pPr>
          </w:p>
        </w:tc>
        <w:tc>
          <w:tcPr>
            <w:tcW w:w="1701" w:type="dxa"/>
          </w:tcPr>
          <w:p w14:paraId="77A59C8E" w14:textId="77777777" w:rsidR="00EC17E2" w:rsidRPr="00B14C47" w:rsidRDefault="00EC17E2" w:rsidP="003833F6">
            <w:pPr>
              <w:jc w:val="center"/>
              <w:rPr>
                <w:rFonts w:ascii="Arial" w:hAnsi="Arial" w:cs="Arial"/>
                <w:sz w:val="20"/>
              </w:rPr>
            </w:pPr>
          </w:p>
        </w:tc>
        <w:tc>
          <w:tcPr>
            <w:tcW w:w="142" w:type="dxa"/>
          </w:tcPr>
          <w:p w14:paraId="2773EFE5" w14:textId="77777777" w:rsidR="00EC17E2" w:rsidRPr="00B14C47" w:rsidRDefault="00EC17E2" w:rsidP="003833F6">
            <w:pPr>
              <w:ind w:right="-18"/>
              <w:jc w:val="center"/>
              <w:rPr>
                <w:rFonts w:ascii="Arial" w:hAnsi="Arial" w:cs="Arial"/>
                <w:sz w:val="20"/>
              </w:rPr>
            </w:pPr>
          </w:p>
        </w:tc>
        <w:tc>
          <w:tcPr>
            <w:tcW w:w="5094" w:type="dxa"/>
          </w:tcPr>
          <w:p w14:paraId="25C6E4DB" w14:textId="77777777" w:rsidR="00EC17E2" w:rsidRPr="00B14C47" w:rsidRDefault="00EC17E2" w:rsidP="003833F6">
            <w:pPr>
              <w:jc w:val="center"/>
              <w:rPr>
                <w:rFonts w:ascii="Arial" w:hAnsi="Arial" w:cs="Arial"/>
                <w:sz w:val="20"/>
              </w:rPr>
            </w:pPr>
          </w:p>
        </w:tc>
      </w:tr>
      <w:tr w:rsidR="00EC17E2" w:rsidRPr="00B14C47" w14:paraId="115AEFCB" w14:textId="77777777" w:rsidTr="003833F6">
        <w:trPr>
          <w:cantSplit/>
        </w:trPr>
        <w:tc>
          <w:tcPr>
            <w:tcW w:w="1730" w:type="dxa"/>
          </w:tcPr>
          <w:p w14:paraId="5C2AEDE4"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Търговски вземания</w:t>
            </w:r>
          </w:p>
        </w:tc>
        <w:tc>
          <w:tcPr>
            <w:tcW w:w="142" w:type="dxa"/>
          </w:tcPr>
          <w:p w14:paraId="75F52DA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59E43F3F"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Вземания, възникнали първоначално в Дружеството</w:t>
            </w:r>
          </w:p>
        </w:tc>
        <w:tc>
          <w:tcPr>
            <w:tcW w:w="142" w:type="dxa"/>
          </w:tcPr>
          <w:p w14:paraId="245B31EC"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p>
        </w:tc>
        <w:tc>
          <w:tcPr>
            <w:tcW w:w="5094" w:type="dxa"/>
          </w:tcPr>
          <w:p w14:paraId="5997030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sz w:val="20"/>
              </w:rPr>
              <w:t>Търговските вземания са безлихвени краткосрочни вземания, които обичайно се оценяват по оригиналната им фактурна стойност, намалена с евентуални разходи за обезценка (резерв за трудносъбираеми вземания).</w:t>
            </w:r>
          </w:p>
        </w:tc>
      </w:tr>
      <w:tr w:rsidR="00EC17E2" w:rsidRPr="00B14C47" w14:paraId="56808EDC" w14:textId="77777777" w:rsidTr="003833F6">
        <w:trPr>
          <w:cantSplit/>
          <w:trHeight w:hRule="exact" w:val="140"/>
        </w:trPr>
        <w:tc>
          <w:tcPr>
            <w:tcW w:w="1730" w:type="dxa"/>
          </w:tcPr>
          <w:p w14:paraId="68ADFB96" w14:textId="77777777" w:rsidR="00EC17E2" w:rsidRPr="00B14C47" w:rsidRDefault="00EC17E2" w:rsidP="003833F6">
            <w:pPr>
              <w:ind w:right="792"/>
              <w:rPr>
                <w:rFonts w:ascii="Arial" w:hAnsi="Arial" w:cs="Arial"/>
                <w:sz w:val="20"/>
              </w:rPr>
            </w:pPr>
          </w:p>
        </w:tc>
        <w:tc>
          <w:tcPr>
            <w:tcW w:w="142" w:type="dxa"/>
          </w:tcPr>
          <w:p w14:paraId="75999636" w14:textId="77777777" w:rsidR="00EC17E2" w:rsidRPr="00B14C47" w:rsidRDefault="00EC17E2" w:rsidP="003833F6">
            <w:pPr>
              <w:ind w:right="-18"/>
              <w:jc w:val="center"/>
              <w:rPr>
                <w:rFonts w:ascii="Arial" w:hAnsi="Arial" w:cs="Arial"/>
                <w:sz w:val="20"/>
              </w:rPr>
            </w:pPr>
          </w:p>
        </w:tc>
        <w:tc>
          <w:tcPr>
            <w:tcW w:w="1701" w:type="dxa"/>
          </w:tcPr>
          <w:p w14:paraId="202484F7" w14:textId="77777777" w:rsidR="00EC17E2" w:rsidRPr="00B14C47" w:rsidRDefault="00EC17E2" w:rsidP="003833F6">
            <w:pPr>
              <w:jc w:val="center"/>
              <w:rPr>
                <w:rFonts w:ascii="Arial" w:hAnsi="Arial" w:cs="Arial"/>
                <w:sz w:val="20"/>
              </w:rPr>
            </w:pPr>
          </w:p>
        </w:tc>
        <w:tc>
          <w:tcPr>
            <w:tcW w:w="142" w:type="dxa"/>
          </w:tcPr>
          <w:p w14:paraId="340DA836" w14:textId="77777777" w:rsidR="00EC17E2" w:rsidRPr="00B14C47" w:rsidRDefault="00EC17E2" w:rsidP="003833F6">
            <w:pPr>
              <w:ind w:right="-18"/>
              <w:jc w:val="center"/>
              <w:rPr>
                <w:rFonts w:ascii="Arial" w:hAnsi="Arial" w:cs="Arial"/>
                <w:sz w:val="20"/>
              </w:rPr>
            </w:pPr>
          </w:p>
        </w:tc>
        <w:tc>
          <w:tcPr>
            <w:tcW w:w="5094" w:type="dxa"/>
          </w:tcPr>
          <w:p w14:paraId="0AFAE71A" w14:textId="77777777" w:rsidR="00EC17E2" w:rsidRPr="00B14C47" w:rsidRDefault="00EC17E2" w:rsidP="003833F6">
            <w:pPr>
              <w:jc w:val="center"/>
              <w:rPr>
                <w:rFonts w:ascii="Arial" w:hAnsi="Arial" w:cs="Arial"/>
                <w:sz w:val="20"/>
              </w:rPr>
            </w:pPr>
          </w:p>
        </w:tc>
      </w:tr>
      <w:tr w:rsidR="00EC17E2" w:rsidRPr="00B14C47" w14:paraId="550140D8" w14:textId="77777777" w:rsidTr="003833F6">
        <w:trPr>
          <w:cantSplit/>
        </w:trPr>
        <w:tc>
          <w:tcPr>
            <w:tcW w:w="1730" w:type="dxa"/>
          </w:tcPr>
          <w:p w14:paraId="1CF57387"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Вземания по цесии</w:t>
            </w:r>
          </w:p>
        </w:tc>
        <w:tc>
          <w:tcPr>
            <w:tcW w:w="142" w:type="dxa"/>
          </w:tcPr>
          <w:p w14:paraId="0F5DC136"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1AC9ECD1"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Финансови активи</w:t>
            </w:r>
          </w:p>
        </w:tc>
        <w:tc>
          <w:tcPr>
            <w:tcW w:w="142" w:type="dxa"/>
          </w:tcPr>
          <w:p w14:paraId="4F8ECA3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p>
        </w:tc>
        <w:tc>
          <w:tcPr>
            <w:tcW w:w="5094" w:type="dxa"/>
          </w:tcPr>
          <w:p w14:paraId="33F18ED5"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r w:rsidRPr="00B14C47">
              <w:rPr>
                <w:rFonts w:ascii="Arial" w:hAnsi="Arial" w:cs="Arial"/>
                <w:sz w:val="20"/>
              </w:rPr>
              <w:t>Справедлива стойност</w:t>
            </w:r>
          </w:p>
        </w:tc>
      </w:tr>
      <w:tr w:rsidR="00EC17E2" w:rsidRPr="00B14C47" w14:paraId="5AA23A58" w14:textId="77777777" w:rsidTr="003833F6">
        <w:trPr>
          <w:cantSplit/>
        </w:trPr>
        <w:tc>
          <w:tcPr>
            <w:tcW w:w="1730" w:type="dxa"/>
          </w:tcPr>
          <w:p w14:paraId="2C21728A"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Търговски задължения</w:t>
            </w:r>
          </w:p>
        </w:tc>
        <w:tc>
          <w:tcPr>
            <w:tcW w:w="142" w:type="dxa"/>
          </w:tcPr>
          <w:p w14:paraId="1A33EA55"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54B17C52"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 xml:space="preserve"> Финансов пасив</w:t>
            </w:r>
          </w:p>
        </w:tc>
        <w:tc>
          <w:tcPr>
            <w:tcW w:w="142" w:type="dxa"/>
          </w:tcPr>
          <w:p w14:paraId="37FB2D88"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p>
        </w:tc>
        <w:tc>
          <w:tcPr>
            <w:tcW w:w="5094" w:type="dxa"/>
          </w:tcPr>
          <w:p w14:paraId="3A0E88C8"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sz w:val="20"/>
              </w:rPr>
              <w:t>Търговските задължения са безлихвени краткосрочни задължения, които обичайно се оценяват по оригиналната им фактурна стойност.</w:t>
            </w:r>
          </w:p>
        </w:tc>
      </w:tr>
      <w:tr w:rsidR="00EC17E2" w:rsidRPr="00B14C47" w14:paraId="77064E35" w14:textId="77777777" w:rsidTr="003833F6">
        <w:trPr>
          <w:cantSplit/>
          <w:trHeight w:hRule="exact" w:val="140"/>
        </w:trPr>
        <w:tc>
          <w:tcPr>
            <w:tcW w:w="1730" w:type="dxa"/>
          </w:tcPr>
          <w:p w14:paraId="1CA52C12" w14:textId="77777777" w:rsidR="00EC17E2" w:rsidRPr="00B14C47" w:rsidRDefault="00EC17E2" w:rsidP="003833F6">
            <w:pPr>
              <w:ind w:right="792"/>
              <w:rPr>
                <w:rFonts w:ascii="Arial" w:hAnsi="Arial" w:cs="Arial"/>
                <w:sz w:val="20"/>
              </w:rPr>
            </w:pPr>
          </w:p>
        </w:tc>
        <w:tc>
          <w:tcPr>
            <w:tcW w:w="142" w:type="dxa"/>
          </w:tcPr>
          <w:p w14:paraId="079869D0" w14:textId="77777777" w:rsidR="00EC17E2" w:rsidRPr="00B14C47" w:rsidRDefault="00EC17E2" w:rsidP="003833F6">
            <w:pPr>
              <w:ind w:right="-18"/>
              <w:jc w:val="center"/>
              <w:rPr>
                <w:rFonts w:ascii="Arial" w:hAnsi="Arial" w:cs="Arial"/>
                <w:sz w:val="20"/>
              </w:rPr>
            </w:pPr>
          </w:p>
        </w:tc>
        <w:tc>
          <w:tcPr>
            <w:tcW w:w="1701" w:type="dxa"/>
          </w:tcPr>
          <w:p w14:paraId="7D1FF7AC" w14:textId="77777777" w:rsidR="00EC17E2" w:rsidRPr="00B14C47" w:rsidRDefault="00EC17E2" w:rsidP="003833F6">
            <w:pPr>
              <w:jc w:val="center"/>
              <w:rPr>
                <w:rFonts w:ascii="Arial" w:hAnsi="Arial" w:cs="Arial"/>
                <w:sz w:val="20"/>
              </w:rPr>
            </w:pPr>
          </w:p>
        </w:tc>
        <w:tc>
          <w:tcPr>
            <w:tcW w:w="142" w:type="dxa"/>
          </w:tcPr>
          <w:p w14:paraId="4E6D7AA5" w14:textId="77777777" w:rsidR="00EC17E2" w:rsidRPr="00B14C47" w:rsidRDefault="00EC17E2" w:rsidP="003833F6">
            <w:pPr>
              <w:ind w:right="-18"/>
              <w:jc w:val="center"/>
              <w:rPr>
                <w:rFonts w:ascii="Arial" w:hAnsi="Arial" w:cs="Arial"/>
                <w:sz w:val="20"/>
              </w:rPr>
            </w:pPr>
          </w:p>
        </w:tc>
        <w:tc>
          <w:tcPr>
            <w:tcW w:w="5094" w:type="dxa"/>
          </w:tcPr>
          <w:p w14:paraId="5906DAD7" w14:textId="77777777" w:rsidR="00EC17E2" w:rsidRPr="00B14C47" w:rsidRDefault="00EC17E2" w:rsidP="003833F6">
            <w:pPr>
              <w:jc w:val="center"/>
              <w:rPr>
                <w:rFonts w:ascii="Arial" w:hAnsi="Arial" w:cs="Arial"/>
                <w:sz w:val="20"/>
              </w:rPr>
            </w:pPr>
          </w:p>
        </w:tc>
      </w:tr>
      <w:tr w:rsidR="00EC17E2" w:rsidRPr="00B14C47" w14:paraId="6C19F768" w14:textId="77777777" w:rsidTr="003833F6">
        <w:trPr>
          <w:cantSplit/>
        </w:trPr>
        <w:tc>
          <w:tcPr>
            <w:tcW w:w="1730" w:type="dxa"/>
          </w:tcPr>
          <w:p w14:paraId="47F33AD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Задължения по цесии и заеми</w:t>
            </w:r>
          </w:p>
        </w:tc>
        <w:tc>
          <w:tcPr>
            <w:tcW w:w="142" w:type="dxa"/>
          </w:tcPr>
          <w:p w14:paraId="59263AFA"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2AB16AFA"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 xml:space="preserve"> Финансов пасив</w:t>
            </w:r>
          </w:p>
        </w:tc>
        <w:tc>
          <w:tcPr>
            <w:tcW w:w="142" w:type="dxa"/>
          </w:tcPr>
          <w:p w14:paraId="7361D0B5"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0A90B26F"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bl>
    <w:p w14:paraId="3B353BA1" w14:textId="77777777" w:rsidR="00EC17E2" w:rsidRPr="00B14C47" w:rsidRDefault="00EC17E2" w:rsidP="00EC17E2">
      <w:pPr>
        <w:pStyle w:val="NormalBold"/>
        <w:jc w:val="both"/>
        <w:rPr>
          <w:rFonts w:ascii="Arial" w:hAnsi="Arial" w:cs="Arial"/>
          <w:sz w:val="20"/>
        </w:rPr>
      </w:pPr>
      <w:bookmarkStart w:id="183" w:name="_Toc473125073"/>
      <w:r w:rsidRPr="00B14C47">
        <w:rPr>
          <w:rFonts w:ascii="Arial" w:hAnsi="Arial" w:cs="Arial"/>
          <w:sz w:val="20"/>
        </w:rPr>
        <w:t xml:space="preserve">Концепцията за справедливата стойност предполага реализиране на финансови инструменти чрез продажба. Като такива дружеството е класифицирало вземанията си по договори за цесия. </w:t>
      </w:r>
    </w:p>
    <w:p w14:paraId="043D6A3B" w14:textId="77777777" w:rsidR="00EC17E2" w:rsidRPr="00B14C47" w:rsidRDefault="00EC17E2" w:rsidP="00EC17E2">
      <w:pPr>
        <w:pStyle w:val="NormalBold"/>
        <w:jc w:val="both"/>
        <w:rPr>
          <w:rFonts w:ascii="Arial" w:hAnsi="Arial" w:cs="Arial"/>
          <w:sz w:val="20"/>
        </w:rPr>
      </w:pPr>
      <w:r w:rsidRPr="00B14C47">
        <w:rPr>
          <w:rFonts w:ascii="Arial" w:hAnsi="Arial" w:cs="Arial"/>
          <w:sz w:val="20"/>
        </w:rPr>
        <w:t>В повечето случаи, обаче, особено по отношение на търговските вземания и задължения, дружеството очаква да реализира тези финансови активи чрез тяхното цялостно обратно изплащане или респ. погасяване във времето. Затова те се представят по тяхната амортизируема стойност.</w:t>
      </w:r>
    </w:p>
    <w:p w14:paraId="4D79ACAC" w14:textId="77777777" w:rsidR="00EC17E2" w:rsidRPr="00B14C47" w:rsidRDefault="00EC17E2" w:rsidP="00EC17E2">
      <w:pPr>
        <w:ind w:right="-1"/>
        <w:rPr>
          <w:rFonts w:ascii="Arial" w:hAnsi="Arial" w:cs="Arial"/>
          <w:sz w:val="20"/>
        </w:rPr>
      </w:pPr>
      <w:r w:rsidRPr="00B14C47">
        <w:rPr>
          <w:rFonts w:ascii="Arial" w:hAnsi="Arial" w:cs="Arial"/>
          <w:sz w:val="20"/>
        </w:rPr>
        <w:t xml:space="preserve">Балансовите стойности на финансовите активи и пасиви </w:t>
      </w:r>
      <w:r w:rsidRPr="00B14C47">
        <w:rPr>
          <w:rFonts w:ascii="Arial" w:hAnsi="Arial" w:cs="Arial"/>
          <w:sz w:val="20"/>
          <w:lang w:val="en-US"/>
        </w:rPr>
        <w:t>(</w:t>
      </w:r>
      <w:r w:rsidRPr="00B14C47">
        <w:rPr>
          <w:rFonts w:ascii="Arial" w:hAnsi="Arial" w:cs="Arial"/>
          <w:sz w:val="20"/>
        </w:rPr>
        <w:t>финансовите инструменти</w:t>
      </w:r>
      <w:r w:rsidRPr="00B14C47">
        <w:rPr>
          <w:rFonts w:ascii="Arial" w:hAnsi="Arial" w:cs="Arial"/>
          <w:sz w:val="20"/>
          <w:lang w:val="en-US"/>
        </w:rPr>
        <w:t>)</w:t>
      </w:r>
      <w:r w:rsidRPr="00B14C47">
        <w:rPr>
          <w:rFonts w:ascii="Arial" w:hAnsi="Arial" w:cs="Arial"/>
          <w:sz w:val="20"/>
        </w:rPr>
        <w:t xml:space="preserve"> на дружеството могат да бъдат представени в следните категории:</w:t>
      </w:r>
    </w:p>
    <w:p w14:paraId="4FE230B4" w14:textId="22A89125" w:rsidR="00EC17E2" w:rsidRDefault="00EC17E2" w:rsidP="00EC17E2">
      <w:pPr>
        <w:ind w:right="-1"/>
        <w:rPr>
          <w:rFonts w:ascii="Arial" w:hAnsi="Arial" w:cs="Arial"/>
          <w:sz w:val="20"/>
        </w:rPr>
      </w:pPr>
    </w:p>
    <w:p w14:paraId="37D50E29" w14:textId="1F919BDB" w:rsidR="00CA29CF" w:rsidRDefault="00CA29CF" w:rsidP="00EC17E2">
      <w:pPr>
        <w:ind w:right="-1"/>
        <w:rPr>
          <w:rFonts w:ascii="Arial" w:hAnsi="Arial" w:cs="Arial"/>
          <w:sz w:val="20"/>
        </w:rPr>
      </w:pPr>
    </w:p>
    <w:p w14:paraId="3014EE30" w14:textId="77777777" w:rsidR="00CA29CF" w:rsidRPr="00B14C47" w:rsidRDefault="00CA29CF" w:rsidP="00EC17E2">
      <w:pPr>
        <w:ind w:right="-1"/>
        <w:rPr>
          <w:rFonts w:ascii="Arial" w:hAnsi="Arial" w:cs="Arial"/>
          <w:sz w:val="20"/>
        </w:rPr>
      </w:pPr>
    </w:p>
    <w:p w14:paraId="33734AA6" w14:textId="77777777" w:rsidR="0089528B" w:rsidRPr="00B14C47" w:rsidRDefault="0089528B" w:rsidP="0089528B">
      <w:pPr>
        <w:ind w:right="-1"/>
        <w:rPr>
          <w:rFonts w:ascii="Arial" w:hAnsi="Arial" w:cs="Arial"/>
          <w:sz w:val="20"/>
        </w:rPr>
      </w:pPr>
      <w:bookmarkStart w:id="184" w:name="_Toc4683433"/>
      <w:bookmarkStart w:id="185" w:name="_Toc4685327"/>
      <w:bookmarkStart w:id="186" w:name="_Toc4692221"/>
      <w:bookmarkStart w:id="187" w:name="_Toc67568193"/>
    </w:p>
    <w:tbl>
      <w:tblPr>
        <w:tblW w:w="5987" w:type="pct"/>
        <w:tblCellMar>
          <w:left w:w="70" w:type="dxa"/>
          <w:right w:w="70" w:type="dxa"/>
        </w:tblCellMar>
        <w:tblLook w:val="04A0" w:firstRow="1" w:lastRow="0" w:firstColumn="1" w:lastColumn="0" w:noHBand="0" w:noVBand="1"/>
      </w:tblPr>
      <w:tblGrid>
        <w:gridCol w:w="5682"/>
        <w:gridCol w:w="2029"/>
        <w:gridCol w:w="1896"/>
        <w:gridCol w:w="1896"/>
      </w:tblGrid>
      <w:tr w:rsidR="0089528B" w:rsidRPr="00B14C47" w14:paraId="5116665D" w14:textId="77777777" w:rsidTr="00281B1C">
        <w:trPr>
          <w:trHeight w:val="161"/>
        </w:trPr>
        <w:tc>
          <w:tcPr>
            <w:tcW w:w="2470" w:type="pct"/>
            <w:shd w:val="clear" w:color="000000" w:fill="FFFFFF"/>
            <w:noWrap/>
            <w:vAlign w:val="bottom"/>
            <w:hideMark/>
          </w:tcPr>
          <w:p w14:paraId="6903934D" w14:textId="77777777" w:rsidR="0089528B" w:rsidRPr="00B14C47" w:rsidRDefault="0089528B" w:rsidP="00281B1C">
            <w:pPr>
              <w:jc w:val="left"/>
              <w:rPr>
                <w:rFonts w:ascii="Arial" w:hAnsi="Arial" w:cs="Arial"/>
                <w:b/>
                <w:bCs/>
                <w:sz w:val="20"/>
              </w:rPr>
            </w:pPr>
            <w:r w:rsidRPr="00B14C47">
              <w:rPr>
                <w:rFonts w:ascii="Arial" w:hAnsi="Arial" w:cs="Arial"/>
                <w:b/>
                <w:bCs/>
                <w:sz w:val="20"/>
              </w:rPr>
              <w:t>Финансови активи</w:t>
            </w:r>
          </w:p>
        </w:tc>
        <w:tc>
          <w:tcPr>
            <w:tcW w:w="882" w:type="pct"/>
            <w:tcBorders>
              <w:left w:val="nil"/>
              <w:bottom w:val="single" w:sz="2" w:space="0" w:color="auto"/>
            </w:tcBorders>
            <w:shd w:val="clear" w:color="000000" w:fill="FFFFFF"/>
            <w:noWrap/>
            <w:vAlign w:val="center"/>
            <w:hideMark/>
          </w:tcPr>
          <w:p w14:paraId="4936D860" w14:textId="6157A489" w:rsidR="0089528B" w:rsidRPr="00B14C47" w:rsidRDefault="003F67E7" w:rsidP="00281B1C">
            <w:pPr>
              <w:jc w:val="center"/>
              <w:rPr>
                <w:rFonts w:ascii="Arial" w:hAnsi="Arial" w:cs="Arial"/>
                <w:b/>
                <w:bCs/>
                <w:sz w:val="20"/>
              </w:rPr>
            </w:pPr>
            <w:r>
              <w:rPr>
                <w:rFonts w:ascii="Arial" w:hAnsi="Arial" w:cs="Arial"/>
                <w:b/>
                <w:bCs/>
                <w:sz w:val="20"/>
              </w:rPr>
              <w:t>30.06</w:t>
            </w:r>
            <w:r w:rsidR="00DF28A9">
              <w:rPr>
                <w:rFonts w:ascii="Arial" w:hAnsi="Arial" w:cs="Arial"/>
                <w:b/>
                <w:bCs/>
                <w:sz w:val="20"/>
              </w:rPr>
              <w:t>.2024</w:t>
            </w:r>
            <w:r w:rsidR="0089528B" w:rsidRPr="00B14C47">
              <w:rPr>
                <w:rFonts w:ascii="Arial" w:hAnsi="Arial" w:cs="Arial"/>
                <w:b/>
                <w:bCs/>
                <w:sz w:val="20"/>
              </w:rPr>
              <w:t>г.</w:t>
            </w:r>
          </w:p>
        </w:tc>
        <w:tc>
          <w:tcPr>
            <w:tcW w:w="824" w:type="pct"/>
            <w:tcBorders>
              <w:bottom w:val="single" w:sz="2" w:space="0" w:color="auto"/>
            </w:tcBorders>
            <w:shd w:val="clear" w:color="000000" w:fill="FFFFFF"/>
            <w:vAlign w:val="center"/>
          </w:tcPr>
          <w:p w14:paraId="5817A7D3" w14:textId="7F2212B8" w:rsidR="0089528B" w:rsidRPr="00B14C47" w:rsidRDefault="00DF28A9" w:rsidP="00281B1C">
            <w:pPr>
              <w:jc w:val="center"/>
              <w:rPr>
                <w:rFonts w:ascii="Arial" w:hAnsi="Arial" w:cs="Arial"/>
                <w:b/>
                <w:bCs/>
                <w:sz w:val="20"/>
              </w:rPr>
            </w:pPr>
            <w:r>
              <w:rPr>
                <w:rFonts w:ascii="Arial" w:hAnsi="Arial" w:cs="Arial"/>
                <w:b/>
                <w:bCs/>
                <w:sz w:val="20"/>
              </w:rPr>
              <w:t>31.12.2023</w:t>
            </w:r>
            <w:r w:rsidR="0089528B" w:rsidRPr="00B14C47">
              <w:rPr>
                <w:rFonts w:ascii="Arial" w:hAnsi="Arial" w:cs="Arial"/>
                <w:b/>
                <w:bCs/>
                <w:sz w:val="20"/>
              </w:rPr>
              <w:t>г.</w:t>
            </w:r>
          </w:p>
        </w:tc>
        <w:tc>
          <w:tcPr>
            <w:tcW w:w="824" w:type="pct"/>
            <w:shd w:val="clear" w:color="000000" w:fill="FFFFFF"/>
            <w:noWrap/>
            <w:vAlign w:val="center"/>
            <w:hideMark/>
          </w:tcPr>
          <w:p w14:paraId="1E8E3866" w14:textId="77777777" w:rsidR="0089528B" w:rsidRPr="00B14C47" w:rsidRDefault="0089528B" w:rsidP="00281B1C">
            <w:pPr>
              <w:jc w:val="center"/>
              <w:rPr>
                <w:rFonts w:ascii="Arial" w:hAnsi="Arial" w:cs="Arial"/>
                <w:b/>
                <w:bCs/>
                <w:sz w:val="20"/>
              </w:rPr>
            </w:pPr>
          </w:p>
        </w:tc>
      </w:tr>
      <w:tr w:rsidR="0089528B" w:rsidRPr="00B14C47" w14:paraId="209E4AB9" w14:textId="77777777" w:rsidTr="00281B1C">
        <w:trPr>
          <w:trHeight w:val="80"/>
        </w:trPr>
        <w:tc>
          <w:tcPr>
            <w:tcW w:w="2470" w:type="pct"/>
            <w:tcBorders>
              <w:top w:val="nil"/>
            </w:tcBorders>
            <w:shd w:val="clear" w:color="000000" w:fill="FFFFFF"/>
            <w:vAlign w:val="bottom"/>
          </w:tcPr>
          <w:p w14:paraId="6361D84C" w14:textId="77777777" w:rsidR="0089528B" w:rsidRPr="00B14C47" w:rsidRDefault="0089528B" w:rsidP="00281B1C">
            <w:pPr>
              <w:jc w:val="left"/>
              <w:rPr>
                <w:rFonts w:ascii="Arial" w:hAnsi="Arial" w:cs="Arial"/>
                <w:b/>
                <w:sz w:val="20"/>
              </w:rPr>
            </w:pPr>
          </w:p>
        </w:tc>
        <w:tc>
          <w:tcPr>
            <w:tcW w:w="882" w:type="pct"/>
            <w:tcBorders>
              <w:top w:val="single" w:sz="2" w:space="0" w:color="auto"/>
              <w:left w:val="nil"/>
              <w:bottom w:val="single" w:sz="2" w:space="0" w:color="auto"/>
            </w:tcBorders>
            <w:shd w:val="clear" w:color="000000" w:fill="FFFFFF"/>
            <w:noWrap/>
            <w:vAlign w:val="center"/>
          </w:tcPr>
          <w:p w14:paraId="3BB3C5A2" w14:textId="77777777" w:rsidR="0089528B" w:rsidRPr="00B14C47" w:rsidRDefault="0089528B" w:rsidP="00281B1C">
            <w:pPr>
              <w:ind w:left="272" w:right="21" w:hanging="272"/>
              <w:jc w:val="right"/>
              <w:rPr>
                <w:rFonts w:ascii="Arial" w:hAnsi="Arial" w:cs="Arial"/>
                <w:b/>
                <w:sz w:val="20"/>
              </w:rPr>
            </w:pPr>
          </w:p>
        </w:tc>
        <w:tc>
          <w:tcPr>
            <w:tcW w:w="824" w:type="pct"/>
            <w:tcBorders>
              <w:top w:val="single" w:sz="2" w:space="0" w:color="auto"/>
              <w:bottom w:val="single" w:sz="2" w:space="0" w:color="auto"/>
            </w:tcBorders>
            <w:shd w:val="clear" w:color="000000" w:fill="FFFFFF"/>
            <w:vAlign w:val="center"/>
          </w:tcPr>
          <w:p w14:paraId="7AB1B283" w14:textId="77777777" w:rsidR="0089528B" w:rsidRPr="00B14C47" w:rsidRDefault="0089528B" w:rsidP="00281B1C">
            <w:pPr>
              <w:ind w:left="272" w:right="21" w:hanging="272"/>
              <w:jc w:val="right"/>
              <w:rPr>
                <w:rFonts w:ascii="Arial" w:hAnsi="Arial" w:cs="Arial"/>
                <w:b/>
                <w:sz w:val="20"/>
              </w:rPr>
            </w:pPr>
          </w:p>
        </w:tc>
        <w:tc>
          <w:tcPr>
            <w:tcW w:w="824" w:type="pct"/>
            <w:shd w:val="clear" w:color="000000" w:fill="FFFFFF"/>
            <w:noWrap/>
            <w:vAlign w:val="center"/>
          </w:tcPr>
          <w:p w14:paraId="0E1A438E" w14:textId="77777777" w:rsidR="0089528B" w:rsidRPr="00B14C47" w:rsidRDefault="0089528B" w:rsidP="00281B1C">
            <w:pPr>
              <w:jc w:val="right"/>
              <w:rPr>
                <w:rFonts w:ascii="Arial" w:hAnsi="Arial" w:cs="Arial"/>
                <w:b/>
                <w:sz w:val="20"/>
              </w:rPr>
            </w:pPr>
          </w:p>
        </w:tc>
      </w:tr>
      <w:tr w:rsidR="0089528B" w:rsidRPr="00B14C47" w14:paraId="62327AE0" w14:textId="77777777" w:rsidTr="00281B1C">
        <w:trPr>
          <w:trHeight w:val="221"/>
        </w:trPr>
        <w:tc>
          <w:tcPr>
            <w:tcW w:w="2470" w:type="pct"/>
            <w:tcBorders>
              <w:top w:val="nil"/>
            </w:tcBorders>
            <w:shd w:val="clear" w:color="000000" w:fill="FFFFFF"/>
            <w:noWrap/>
            <w:vAlign w:val="bottom"/>
            <w:hideMark/>
          </w:tcPr>
          <w:p w14:paraId="73A54E28" w14:textId="77777777" w:rsidR="0089528B" w:rsidRPr="00B14C47" w:rsidRDefault="00686B44" w:rsidP="00281B1C">
            <w:pPr>
              <w:jc w:val="left"/>
              <w:rPr>
                <w:rFonts w:ascii="Arial" w:hAnsi="Arial" w:cs="Arial"/>
                <w:b/>
                <w:bCs/>
                <w:sz w:val="20"/>
              </w:rPr>
            </w:pPr>
            <w:r w:rsidRPr="00B14C47">
              <w:rPr>
                <w:rFonts w:ascii="Arial" w:hAnsi="Arial" w:cs="Arial"/>
                <w:b/>
                <w:bCs/>
                <w:sz w:val="20"/>
              </w:rPr>
              <w:t>Други т</w:t>
            </w:r>
            <w:r w:rsidR="0089528B" w:rsidRPr="00B14C47">
              <w:rPr>
                <w:rFonts w:ascii="Arial" w:hAnsi="Arial" w:cs="Arial"/>
                <w:b/>
                <w:bCs/>
                <w:sz w:val="20"/>
              </w:rPr>
              <w:t>екущи финансови активи, в т.ч.:</w:t>
            </w:r>
          </w:p>
        </w:tc>
        <w:tc>
          <w:tcPr>
            <w:tcW w:w="882" w:type="pct"/>
            <w:tcBorders>
              <w:top w:val="single" w:sz="2" w:space="0" w:color="auto"/>
              <w:left w:val="nil"/>
              <w:bottom w:val="single" w:sz="4" w:space="0" w:color="auto"/>
            </w:tcBorders>
            <w:shd w:val="clear" w:color="000000" w:fill="FFFFFF"/>
            <w:noWrap/>
            <w:vAlign w:val="center"/>
          </w:tcPr>
          <w:p w14:paraId="27B44227" w14:textId="25BF0268" w:rsidR="0089528B" w:rsidRPr="00B14C47" w:rsidRDefault="0089528B" w:rsidP="00281B1C">
            <w:pPr>
              <w:ind w:left="272" w:right="21" w:hanging="272"/>
              <w:jc w:val="right"/>
              <w:rPr>
                <w:rFonts w:ascii="Arial" w:hAnsi="Arial" w:cs="Arial"/>
                <w:b/>
                <w:bCs/>
                <w:sz w:val="20"/>
              </w:rPr>
            </w:pPr>
            <w:r w:rsidRPr="00B14C47">
              <w:rPr>
                <w:rFonts w:ascii="Arial" w:hAnsi="Arial" w:cs="Arial"/>
                <w:b/>
                <w:bCs/>
                <w:sz w:val="20"/>
              </w:rPr>
              <w:t xml:space="preserve">10 </w:t>
            </w:r>
            <w:r w:rsidR="001A1999">
              <w:rPr>
                <w:rFonts w:ascii="Arial" w:hAnsi="Arial" w:cs="Arial"/>
                <w:b/>
                <w:bCs/>
                <w:sz w:val="20"/>
              </w:rPr>
              <w:t>143</w:t>
            </w:r>
          </w:p>
        </w:tc>
        <w:tc>
          <w:tcPr>
            <w:tcW w:w="824" w:type="pct"/>
            <w:tcBorders>
              <w:top w:val="single" w:sz="2" w:space="0" w:color="auto"/>
              <w:bottom w:val="single" w:sz="4" w:space="0" w:color="auto"/>
            </w:tcBorders>
            <w:shd w:val="clear" w:color="000000" w:fill="FFFFFF"/>
            <w:vAlign w:val="center"/>
          </w:tcPr>
          <w:p w14:paraId="495AA21E" w14:textId="347A6934" w:rsidR="0089528B" w:rsidRPr="00B14C47" w:rsidRDefault="0089528B" w:rsidP="00281B1C">
            <w:pPr>
              <w:ind w:left="272" w:right="21" w:hanging="272"/>
              <w:jc w:val="right"/>
              <w:rPr>
                <w:rFonts w:ascii="Arial" w:hAnsi="Arial" w:cs="Arial"/>
                <w:b/>
                <w:bCs/>
                <w:sz w:val="20"/>
              </w:rPr>
            </w:pPr>
            <w:r w:rsidRPr="00B14C47">
              <w:rPr>
                <w:rFonts w:ascii="Arial" w:hAnsi="Arial" w:cs="Arial"/>
                <w:b/>
                <w:bCs/>
                <w:sz w:val="20"/>
              </w:rPr>
              <w:t xml:space="preserve">  1</w:t>
            </w:r>
            <w:r w:rsidRPr="00B14C47">
              <w:rPr>
                <w:rStyle w:val="Heading5Char"/>
                <w:rFonts w:ascii="Arial" w:hAnsi="Arial" w:cs="Arial"/>
                <w:sz w:val="20"/>
                <w:szCs w:val="20"/>
                <w:lang w:val="bg-BG"/>
              </w:rPr>
              <w:t xml:space="preserve">0 </w:t>
            </w:r>
            <w:r w:rsidR="00DF28A9">
              <w:rPr>
                <w:rStyle w:val="Heading5Char"/>
                <w:rFonts w:ascii="Arial" w:hAnsi="Arial" w:cs="Arial"/>
                <w:sz w:val="20"/>
                <w:szCs w:val="20"/>
                <w:lang w:val="bg-BG"/>
              </w:rPr>
              <w:t>066</w:t>
            </w:r>
            <w:r w:rsidRPr="00B14C47">
              <w:rPr>
                <w:rFonts w:ascii="Arial" w:hAnsi="Arial" w:cs="Arial"/>
                <w:b/>
                <w:bCs/>
                <w:sz w:val="20"/>
              </w:rPr>
              <w:t xml:space="preserve">                </w:t>
            </w:r>
          </w:p>
        </w:tc>
        <w:tc>
          <w:tcPr>
            <w:tcW w:w="824" w:type="pct"/>
            <w:shd w:val="clear" w:color="000000" w:fill="FFFFFF"/>
            <w:noWrap/>
            <w:vAlign w:val="center"/>
          </w:tcPr>
          <w:p w14:paraId="350A2B78" w14:textId="77777777" w:rsidR="0089528B" w:rsidRPr="00B14C47" w:rsidRDefault="0089528B" w:rsidP="00281B1C">
            <w:pPr>
              <w:ind w:left="272" w:right="21" w:hanging="272"/>
              <w:jc w:val="right"/>
              <w:rPr>
                <w:rFonts w:ascii="Arial" w:hAnsi="Arial" w:cs="Arial"/>
                <w:b/>
                <w:bCs/>
                <w:sz w:val="20"/>
              </w:rPr>
            </w:pPr>
          </w:p>
        </w:tc>
      </w:tr>
      <w:tr w:rsidR="0089528B" w:rsidRPr="00B14C47" w14:paraId="785FBDCB" w14:textId="77777777" w:rsidTr="00281B1C">
        <w:trPr>
          <w:trHeight w:val="202"/>
        </w:trPr>
        <w:tc>
          <w:tcPr>
            <w:tcW w:w="2470" w:type="pct"/>
            <w:tcBorders>
              <w:top w:val="nil"/>
            </w:tcBorders>
            <w:shd w:val="clear" w:color="000000" w:fill="FFFFFF"/>
            <w:vAlign w:val="bottom"/>
          </w:tcPr>
          <w:p w14:paraId="45A0CCE0" w14:textId="77777777" w:rsidR="0089528B" w:rsidRPr="00B14C47" w:rsidRDefault="0089528B" w:rsidP="00281B1C">
            <w:pPr>
              <w:jc w:val="left"/>
              <w:rPr>
                <w:rFonts w:ascii="Arial" w:hAnsi="Arial" w:cs="Arial"/>
                <w:sz w:val="20"/>
              </w:rPr>
            </w:pPr>
          </w:p>
        </w:tc>
        <w:tc>
          <w:tcPr>
            <w:tcW w:w="882" w:type="pct"/>
            <w:tcBorders>
              <w:top w:val="single" w:sz="4" w:space="0" w:color="auto"/>
              <w:left w:val="nil"/>
            </w:tcBorders>
            <w:shd w:val="clear" w:color="000000" w:fill="FFFFFF"/>
            <w:noWrap/>
            <w:vAlign w:val="center"/>
          </w:tcPr>
          <w:p w14:paraId="44E07DA0" w14:textId="77777777" w:rsidR="0089528B" w:rsidRPr="00B14C47" w:rsidRDefault="0089528B" w:rsidP="00281B1C">
            <w:pPr>
              <w:ind w:left="272" w:right="21" w:hanging="272"/>
              <w:jc w:val="right"/>
              <w:rPr>
                <w:rFonts w:ascii="Arial" w:hAnsi="Arial" w:cs="Arial"/>
                <w:sz w:val="20"/>
              </w:rPr>
            </w:pPr>
          </w:p>
        </w:tc>
        <w:tc>
          <w:tcPr>
            <w:tcW w:w="824" w:type="pct"/>
            <w:tcBorders>
              <w:top w:val="single" w:sz="4" w:space="0" w:color="auto"/>
            </w:tcBorders>
            <w:shd w:val="clear" w:color="000000" w:fill="FFFFFF"/>
            <w:vAlign w:val="center"/>
          </w:tcPr>
          <w:p w14:paraId="73402B34" w14:textId="77777777" w:rsidR="0089528B" w:rsidRPr="00B14C47" w:rsidRDefault="0089528B" w:rsidP="00281B1C">
            <w:pPr>
              <w:ind w:left="272" w:right="21" w:hanging="272"/>
              <w:jc w:val="right"/>
              <w:rPr>
                <w:rFonts w:ascii="Arial" w:hAnsi="Arial" w:cs="Arial"/>
                <w:sz w:val="20"/>
              </w:rPr>
            </w:pPr>
          </w:p>
        </w:tc>
        <w:tc>
          <w:tcPr>
            <w:tcW w:w="824" w:type="pct"/>
            <w:shd w:val="clear" w:color="000000" w:fill="FFFFFF"/>
            <w:noWrap/>
            <w:vAlign w:val="center"/>
          </w:tcPr>
          <w:p w14:paraId="7FC6600D" w14:textId="77777777" w:rsidR="0089528B" w:rsidRPr="00B14C47" w:rsidRDefault="0089528B" w:rsidP="00281B1C">
            <w:pPr>
              <w:ind w:left="272" w:right="21" w:hanging="272"/>
              <w:jc w:val="right"/>
              <w:rPr>
                <w:rFonts w:ascii="Arial" w:hAnsi="Arial" w:cs="Arial"/>
                <w:sz w:val="20"/>
              </w:rPr>
            </w:pPr>
          </w:p>
        </w:tc>
      </w:tr>
      <w:tr w:rsidR="0089528B" w:rsidRPr="00B14C47" w14:paraId="0055BA60" w14:textId="77777777" w:rsidTr="00281B1C">
        <w:trPr>
          <w:trHeight w:val="257"/>
        </w:trPr>
        <w:tc>
          <w:tcPr>
            <w:tcW w:w="2470" w:type="pct"/>
            <w:tcBorders>
              <w:top w:val="nil"/>
            </w:tcBorders>
            <w:shd w:val="clear" w:color="000000" w:fill="FFFFFF"/>
            <w:vAlign w:val="bottom"/>
            <w:hideMark/>
          </w:tcPr>
          <w:p w14:paraId="0C010451" w14:textId="77777777" w:rsidR="0089528B" w:rsidRPr="00B14C47" w:rsidRDefault="0089528B" w:rsidP="00281B1C">
            <w:pPr>
              <w:jc w:val="left"/>
              <w:rPr>
                <w:rFonts w:ascii="Arial" w:hAnsi="Arial" w:cs="Arial"/>
                <w:i/>
                <w:sz w:val="20"/>
              </w:rPr>
            </w:pPr>
            <w:r w:rsidRPr="00B14C47">
              <w:rPr>
                <w:rFonts w:ascii="Arial" w:hAnsi="Arial" w:cs="Arial"/>
                <w:i/>
                <w:sz w:val="20"/>
              </w:rPr>
              <w:t>Текущи вземания по договори за цесии</w:t>
            </w:r>
          </w:p>
        </w:tc>
        <w:tc>
          <w:tcPr>
            <w:tcW w:w="882" w:type="pct"/>
            <w:tcBorders>
              <w:top w:val="nil"/>
              <w:left w:val="nil"/>
            </w:tcBorders>
            <w:shd w:val="clear" w:color="000000" w:fill="FFFFFF"/>
            <w:noWrap/>
            <w:vAlign w:val="center"/>
          </w:tcPr>
          <w:p w14:paraId="1E0F5CBD" w14:textId="4CE70B89" w:rsidR="0089528B" w:rsidRPr="00B14C47" w:rsidRDefault="003F67E7" w:rsidP="00281B1C">
            <w:pPr>
              <w:ind w:left="272" w:right="21" w:hanging="272"/>
              <w:jc w:val="right"/>
              <w:rPr>
                <w:rFonts w:ascii="Arial" w:hAnsi="Arial" w:cs="Arial"/>
                <w:i/>
                <w:sz w:val="20"/>
              </w:rPr>
            </w:pPr>
            <w:r>
              <w:rPr>
                <w:rFonts w:ascii="Arial" w:hAnsi="Arial" w:cs="Arial"/>
                <w:i/>
                <w:sz w:val="20"/>
              </w:rPr>
              <w:t>10 018</w:t>
            </w:r>
          </w:p>
        </w:tc>
        <w:tc>
          <w:tcPr>
            <w:tcW w:w="824" w:type="pct"/>
            <w:tcBorders>
              <w:top w:val="nil"/>
            </w:tcBorders>
            <w:shd w:val="clear" w:color="000000" w:fill="FFFFFF"/>
            <w:vAlign w:val="center"/>
          </w:tcPr>
          <w:p w14:paraId="4E6572CF" w14:textId="3502AD4E" w:rsidR="0089528B" w:rsidRPr="00B14C47" w:rsidRDefault="00A64339" w:rsidP="00281B1C">
            <w:pPr>
              <w:ind w:left="272" w:right="21" w:hanging="272"/>
              <w:jc w:val="right"/>
              <w:rPr>
                <w:rFonts w:ascii="Arial" w:hAnsi="Arial" w:cs="Arial"/>
                <w:i/>
                <w:sz w:val="20"/>
              </w:rPr>
            </w:pPr>
            <w:r w:rsidRPr="00B14C47">
              <w:rPr>
                <w:rFonts w:ascii="Arial" w:hAnsi="Arial" w:cs="Arial"/>
                <w:i/>
                <w:sz w:val="20"/>
                <w:lang w:val="en-US"/>
              </w:rPr>
              <w:t xml:space="preserve">  </w:t>
            </w:r>
            <w:r w:rsidR="00BD5DEE">
              <w:rPr>
                <w:rFonts w:ascii="Arial" w:hAnsi="Arial" w:cs="Arial"/>
                <w:i/>
                <w:sz w:val="20"/>
              </w:rPr>
              <w:t>9 952</w:t>
            </w:r>
          </w:p>
        </w:tc>
        <w:tc>
          <w:tcPr>
            <w:tcW w:w="824" w:type="pct"/>
            <w:tcBorders>
              <w:top w:val="nil"/>
            </w:tcBorders>
            <w:shd w:val="clear" w:color="000000" w:fill="FFFFFF"/>
            <w:noWrap/>
            <w:vAlign w:val="center"/>
          </w:tcPr>
          <w:p w14:paraId="24F2593A" w14:textId="77777777" w:rsidR="0089528B" w:rsidRPr="00B14C47" w:rsidRDefault="0089528B" w:rsidP="00281B1C">
            <w:pPr>
              <w:ind w:left="272" w:right="21" w:hanging="272"/>
              <w:jc w:val="right"/>
              <w:rPr>
                <w:rFonts w:ascii="Arial" w:hAnsi="Arial" w:cs="Arial"/>
                <w:i/>
                <w:sz w:val="20"/>
              </w:rPr>
            </w:pPr>
          </w:p>
        </w:tc>
      </w:tr>
      <w:tr w:rsidR="0089528B" w:rsidRPr="00B14C47" w14:paraId="1B57D6BF" w14:textId="77777777" w:rsidTr="00281B1C">
        <w:trPr>
          <w:trHeight w:val="80"/>
        </w:trPr>
        <w:tc>
          <w:tcPr>
            <w:tcW w:w="2470" w:type="pct"/>
            <w:tcBorders>
              <w:top w:val="nil"/>
            </w:tcBorders>
            <w:shd w:val="clear" w:color="000000" w:fill="FFFFFF"/>
            <w:vAlign w:val="bottom"/>
          </w:tcPr>
          <w:p w14:paraId="73DBA01B" w14:textId="77777777" w:rsidR="0089528B" w:rsidRPr="00B14C47" w:rsidRDefault="0089528B" w:rsidP="00281B1C">
            <w:pPr>
              <w:jc w:val="left"/>
              <w:rPr>
                <w:rFonts w:ascii="Arial" w:hAnsi="Arial" w:cs="Arial"/>
                <w:i/>
                <w:sz w:val="20"/>
              </w:rPr>
            </w:pPr>
            <w:r w:rsidRPr="00B14C47">
              <w:rPr>
                <w:rFonts w:ascii="Arial" w:hAnsi="Arial" w:cs="Arial"/>
                <w:i/>
                <w:sz w:val="20"/>
              </w:rPr>
              <w:t>Предоставени заеми</w:t>
            </w:r>
          </w:p>
        </w:tc>
        <w:tc>
          <w:tcPr>
            <w:tcW w:w="882" w:type="pct"/>
            <w:tcBorders>
              <w:top w:val="nil"/>
              <w:left w:val="nil"/>
            </w:tcBorders>
            <w:shd w:val="clear" w:color="000000" w:fill="FFFFFF"/>
            <w:noWrap/>
            <w:vAlign w:val="center"/>
          </w:tcPr>
          <w:p w14:paraId="4B9A2498" w14:textId="015212A9" w:rsidR="0089528B" w:rsidRPr="00B14C47" w:rsidRDefault="003F67E7" w:rsidP="00BD5DEE">
            <w:pPr>
              <w:ind w:left="272" w:right="21" w:hanging="272"/>
              <w:jc w:val="right"/>
              <w:rPr>
                <w:rFonts w:ascii="Arial" w:hAnsi="Arial" w:cs="Arial"/>
                <w:i/>
                <w:sz w:val="20"/>
              </w:rPr>
            </w:pPr>
            <w:r>
              <w:rPr>
                <w:rFonts w:ascii="Arial" w:hAnsi="Arial" w:cs="Arial"/>
                <w:i/>
                <w:sz w:val="20"/>
              </w:rPr>
              <w:t>125</w:t>
            </w:r>
          </w:p>
        </w:tc>
        <w:tc>
          <w:tcPr>
            <w:tcW w:w="824" w:type="pct"/>
            <w:tcBorders>
              <w:top w:val="nil"/>
            </w:tcBorders>
            <w:shd w:val="clear" w:color="000000" w:fill="FFFFFF"/>
            <w:vAlign w:val="center"/>
          </w:tcPr>
          <w:p w14:paraId="737ABBF3" w14:textId="55806F63" w:rsidR="0089528B" w:rsidRPr="00B14C47" w:rsidRDefault="0089528B" w:rsidP="00281B1C">
            <w:pPr>
              <w:ind w:left="272" w:right="21" w:hanging="272"/>
              <w:jc w:val="right"/>
              <w:rPr>
                <w:rFonts w:ascii="Arial" w:hAnsi="Arial" w:cs="Arial"/>
                <w:i/>
                <w:sz w:val="20"/>
                <w:lang w:val="en-US"/>
              </w:rPr>
            </w:pPr>
            <w:r w:rsidRPr="00B14C47">
              <w:rPr>
                <w:rFonts w:ascii="Arial" w:hAnsi="Arial" w:cs="Arial"/>
                <w:i/>
                <w:sz w:val="20"/>
                <w:lang w:val="en-US"/>
              </w:rPr>
              <w:t>1</w:t>
            </w:r>
            <w:r w:rsidR="00DF28A9">
              <w:rPr>
                <w:rFonts w:ascii="Arial" w:hAnsi="Arial" w:cs="Arial"/>
                <w:i/>
                <w:sz w:val="20"/>
              </w:rPr>
              <w:t>14</w:t>
            </w:r>
          </w:p>
        </w:tc>
        <w:tc>
          <w:tcPr>
            <w:tcW w:w="824" w:type="pct"/>
            <w:tcBorders>
              <w:top w:val="nil"/>
            </w:tcBorders>
            <w:shd w:val="clear" w:color="000000" w:fill="FFFFFF"/>
            <w:noWrap/>
            <w:vAlign w:val="center"/>
          </w:tcPr>
          <w:p w14:paraId="46894639" w14:textId="77777777" w:rsidR="0089528B" w:rsidRPr="00B14C47" w:rsidRDefault="0089528B" w:rsidP="00281B1C">
            <w:pPr>
              <w:ind w:left="272" w:right="21" w:hanging="272"/>
              <w:jc w:val="right"/>
              <w:rPr>
                <w:rFonts w:ascii="Arial" w:hAnsi="Arial" w:cs="Arial"/>
                <w:i/>
                <w:sz w:val="20"/>
              </w:rPr>
            </w:pPr>
          </w:p>
        </w:tc>
      </w:tr>
      <w:tr w:rsidR="0089528B" w:rsidRPr="00B14C47" w14:paraId="29CF5360" w14:textId="77777777" w:rsidTr="00281B1C">
        <w:trPr>
          <w:trHeight w:val="144"/>
        </w:trPr>
        <w:tc>
          <w:tcPr>
            <w:tcW w:w="2470" w:type="pct"/>
            <w:tcBorders>
              <w:top w:val="nil"/>
              <w:bottom w:val="nil"/>
            </w:tcBorders>
            <w:shd w:val="clear" w:color="000000" w:fill="FFFFFF"/>
            <w:vAlign w:val="bottom"/>
            <w:hideMark/>
          </w:tcPr>
          <w:p w14:paraId="13D60F4B" w14:textId="77777777" w:rsidR="0089528B" w:rsidRPr="00B14C47" w:rsidRDefault="0089528B" w:rsidP="00281B1C">
            <w:pPr>
              <w:jc w:val="left"/>
              <w:rPr>
                <w:rFonts w:ascii="Arial" w:hAnsi="Arial" w:cs="Arial"/>
                <w:sz w:val="20"/>
              </w:rPr>
            </w:pPr>
            <w:r w:rsidRPr="00B14C47">
              <w:rPr>
                <w:rFonts w:ascii="Arial" w:hAnsi="Arial" w:cs="Arial"/>
                <w:sz w:val="20"/>
              </w:rPr>
              <w:lastRenderedPageBreak/>
              <w:t>Парични средства</w:t>
            </w:r>
          </w:p>
        </w:tc>
        <w:tc>
          <w:tcPr>
            <w:tcW w:w="882" w:type="pct"/>
            <w:tcBorders>
              <w:left w:val="nil"/>
              <w:bottom w:val="single" w:sz="12" w:space="0" w:color="auto"/>
            </w:tcBorders>
            <w:shd w:val="clear" w:color="000000" w:fill="FFFFFF"/>
            <w:noWrap/>
            <w:vAlign w:val="center"/>
          </w:tcPr>
          <w:p w14:paraId="161562AD" w14:textId="14DD8A96" w:rsidR="0089528B" w:rsidRPr="00B14C47" w:rsidRDefault="003F67E7" w:rsidP="00281B1C">
            <w:pPr>
              <w:ind w:left="272" w:right="21" w:hanging="272"/>
              <w:jc w:val="right"/>
              <w:rPr>
                <w:rFonts w:ascii="Arial" w:hAnsi="Arial" w:cs="Arial"/>
                <w:sz w:val="20"/>
              </w:rPr>
            </w:pPr>
            <w:r>
              <w:rPr>
                <w:rFonts w:ascii="Arial" w:hAnsi="Arial" w:cs="Arial"/>
                <w:sz w:val="20"/>
              </w:rPr>
              <w:t>3</w:t>
            </w:r>
          </w:p>
        </w:tc>
        <w:tc>
          <w:tcPr>
            <w:tcW w:w="824" w:type="pct"/>
            <w:tcBorders>
              <w:bottom w:val="single" w:sz="12" w:space="0" w:color="auto"/>
            </w:tcBorders>
            <w:shd w:val="clear" w:color="000000" w:fill="FFFFFF"/>
            <w:vAlign w:val="center"/>
          </w:tcPr>
          <w:p w14:paraId="4D7743B0" w14:textId="3B3E13BD" w:rsidR="0089528B" w:rsidRPr="00B14C47" w:rsidRDefault="0089528B" w:rsidP="00281B1C">
            <w:pPr>
              <w:ind w:left="272" w:right="21" w:hanging="272"/>
              <w:jc w:val="right"/>
              <w:rPr>
                <w:rFonts w:ascii="Arial" w:hAnsi="Arial" w:cs="Arial"/>
                <w:sz w:val="20"/>
              </w:rPr>
            </w:pPr>
          </w:p>
        </w:tc>
        <w:tc>
          <w:tcPr>
            <w:tcW w:w="824" w:type="pct"/>
            <w:shd w:val="clear" w:color="000000" w:fill="FFFFFF"/>
            <w:noWrap/>
            <w:vAlign w:val="center"/>
          </w:tcPr>
          <w:p w14:paraId="736CA3A8" w14:textId="77777777" w:rsidR="0089528B" w:rsidRPr="00B14C47" w:rsidRDefault="0089528B" w:rsidP="00281B1C">
            <w:pPr>
              <w:ind w:left="272" w:right="21" w:hanging="272"/>
              <w:jc w:val="right"/>
              <w:rPr>
                <w:rFonts w:ascii="Arial" w:hAnsi="Arial" w:cs="Arial"/>
                <w:sz w:val="20"/>
              </w:rPr>
            </w:pPr>
          </w:p>
        </w:tc>
      </w:tr>
      <w:tr w:rsidR="0089528B" w:rsidRPr="00B14C47" w14:paraId="2820B158" w14:textId="77777777" w:rsidTr="00281B1C">
        <w:trPr>
          <w:trHeight w:val="173"/>
        </w:trPr>
        <w:tc>
          <w:tcPr>
            <w:tcW w:w="2470" w:type="pct"/>
            <w:tcBorders>
              <w:top w:val="nil"/>
            </w:tcBorders>
            <w:shd w:val="clear" w:color="000000" w:fill="FFFFFF"/>
            <w:vAlign w:val="bottom"/>
          </w:tcPr>
          <w:p w14:paraId="11BE60B8" w14:textId="77777777" w:rsidR="0089528B" w:rsidRPr="00B14C47" w:rsidRDefault="0089528B" w:rsidP="00281B1C">
            <w:pPr>
              <w:jc w:val="left"/>
              <w:rPr>
                <w:rFonts w:ascii="Arial" w:hAnsi="Arial" w:cs="Arial"/>
                <w:b/>
                <w:sz w:val="20"/>
              </w:rPr>
            </w:pPr>
            <w:r w:rsidRPr="00B14C47">
              <w:rPr>
                <w:rFonts w:ascii="Arial" w:hAnsi="Arial" w:cs="Arial"/>
                <w:b/>
                <w:sz w:val="20"/>
              </w:rPr>
              <w:t>Общо финансови активи</w:t>
            </w:r>
          </w:p>
        </w:tc>
        <w:tc>
          <w:tcPr>
            <w:tcW w:w="882" w:type="pct"/>
            <w:tcBorders>
              <w:top w:val="single" w:sz="12" w:space="0" w:color="auto"/>
              <w:left w:val="nil"/>
              <w:bottom w:val="single" w:sz="18" w:space="0" w:color="auto"/>
            </w:tcBorders>
            <w:shd w:val="clear" w:color="000000" w:fill="FFFFFF"/>
            <w:noWrap/>
            <w:vAlign w:val="center"/>
          </w:tcPr>
          <w:p w14:paraId="4F913A53" w14:textId="2F441865" w:rsidR="0089528B" w:rsidRPr="00B14C47" w:rsidRDefault="0089528B" w:rsidP="00281B1C">
            <w:pPr>
              <w:ind w:left="272" w:right="21" w:hanging="272"/>
              <w:jc w:val="right"/>
              <w:rPr>
                <w:rFonts w:ascii="Arial" w:hAnsi="Arial" w:cs="Arial"/>
                <w:b/>
                <w:sz w:val="20"/>
              </w:rPr>
            </w:pPr>
            <w:r w:rsidRPr="00B14C47">
              <w:rPr>
                <w:rFonts w:ascii="Arial" w:hAnsi="Arial" w:cs="Arial"/>
                <w:b/>
                <w:sz w:val="20"/>
              </w:rPr>
              <w:t xml:space="preserve">10 </w:t>
            </w:r>
            <w:r w:rsidR="001A1999">
              <w:rPr>
                <w:rFonts w:ascii="Arial" w:hAnsi="Arial" w:cs="Arial"/>
                <w:b/>
                <w:sz w:val="20"/>
              </w:rPr>
              <w:t>146</w:t>
            </w:r>
          </w:p>
        </w:tc>
        <w:tc>
          <w:tcPr>
            <w:tcW w:w="824" w:type="pct"/>
            <w:tcBorders>
              <w:top w:val="single" w:sz="12" w:space="0" w:color="auto"/>
              <w:bottom w:val="single" w:sz="18" w:space="0" w:color="auto"/>
            </w:tcBorders>
            <w:shd w:val="clear" w:color="000000" w:fill="FFFFFF"/>
            <w:vAlign w:val="center"/>
          </w:tcPr>
          <w:p w14:paraId="117766EF" w14:textId="601EE692" w:rsidR="0089528B" w:rsidRPr="00B14C47" w:rsidRDefault="00DF28A9" w:rsidP="00281B1C">
            <w:pPr>
              <w:ind w:left="272" w:right="21" w:hanging="272"/>
              <w:jc w:val="right"/>
              <w:rPr>
                <w:rFonts w:ascii="Arial" w:hAnsi="Arial" w:cs="Arial"/>
                <w:b/>
                <w:sz w:val="20"/>
              </w:rPr>
            </w:pPr>
            <w:r>
              <w:rPr>
                <w:rFonts w:ascii="Arial" w:hAnsi="Arial" w:cs="Arial"/>
                <w:b/>
                <w:sz w:val="20"/>
              </w:rPr>
              <w:t>10 066</w:t>
            </w:r>
          </w:p>
        </w:tc>
        <w:tc>
          <w:tcPr>
            <w:tcW w:w="824" w:type="pct"/>
            <w:shd w:val="clear" w:color="000000" w:fill="FFFFFF"/>
            <w:noWrap/>
            <w:vAlign w:val="center"/>
          </w:tcPr>
          <w:p w14:paraId="2CB49E11" w14:textId="77777777" w:rsidR="0089528B" w:rsidRPr="00B14C47" w:rsidRDefault="0089528B" w:rsidP="00281B1C">
            <w:pPr>
              <w:ind w:left="272" w:right="21" w:hanging="272"/>
              <w:jc w:val="right"/>
              <w:rPr>
                <w:rFonts w:ascii="Arial" w:hAnsi="Arial" w:cs="Arial"/>
                <w:b/>
                <w:sz w:val="20"/>
              </w:rPr>
            </w:pPr>
          </w:p>
        </w:tc>
      </w:tr>
    </w:tbl>
    <w:p w14:paraId="0940352B" w14:textId="77777777" w:rsidR="0089528B" w:rsidRPr="00B14C47" w:rsidRDefault="0089528B" w:rsidP="0089528B">
      <w:pPr>
        <w:ind w:right="-1"/>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5946"/>
        <w:gridCol w:w="1987"/>
        <w:gridCol w:w="1674"/>
      </w:tblGrid>
      <w:tr w:rsidR="0089528B" w:rsidRPr="00B14C47" w14:paraId="1A0EBA18" w14:textId="77777777" w:rsidTr="00281B1C">
        <w:trPr>
          <w:trHeight w:val="161"/>
        </w:trPr>
        <w:tc>
          <w:tcPr>
            <w:tcW w:w="3095" w:type="pct"/>
            <w:shd w:val="clear" w:color="000000" w:fill="FFFFFF"/>
            <w:noWrap/>
            <w:vAlign w:val="bottom"/>
            <w:hideMark/>
          </w:tcPr>
          <w:p w14:paraId="7F446EEF" w14:textId="77777777" w:rsidR="0089528B" w:rsidRPr="00B14C47" w:rsidRDefault="0089528B" w:rsidP="00281B1C">
            <w:pPr>
              <w:jc w:val="left"/>
              <w:rPr>
                <w:rFonts w:ascii="Arial" w:hAnsi="Arial" w:cs="Arial"/>
                <w:b/>
                <w:bCs/>
                <w:sz w:val="20"/>
              </w:rPr>
            </w:pPr>
            <w:r w:rsidRPr="00B14C47">
              <w:rPr>
                <w:rFonts w:ascii="Arial" w:hAnsi="Arial" w:cs="Arial"/>
                <w:b/>
                <w:bCs/>
                <w:sz w:val="20"/>
              </w:rPr>
              <w:t>Финансови пасиви</w:t>
            </w:r>
          </w:p>
        </w:tc>
        <w:tc>
          <w:tcPr>
            <w:tcW w:w="1034" w:type="pct"/>
            <w:tcBorders>
              <w:left w:val="nil"/>
            </w:tcBorders>
            <w:shd w:val="clear" w:color="000000" w:fill="FFFFFF"/>
            <w:noWrap/>
            <w:vAlign w:val="center"/>
            <w:hideMark/>
          </w:tcPr>
          <w:p w14:paraId="7F60CF7D" w14:textId="1F13223A" w:rsidR="0089528B" w:rsidRPr="00B14C47" w:rsidRDefault="003F67E7" w:rsidP="00281B1C">
            <w:pPr>
              <w:jc w:val="center"/>
              <w:rPr>
                <w:rFonts w:ascii="Arial" w:hAnsi="Arial" w:cs="Arial"/>
                <w:b/>
                <w:bCs/>
                <w:sz w:val="20"/>
              </w:rPr>
            </w:pPr>
            <w:r>
              <w:rPr>
                <w:rFonts w:ascii="Arial" w:hAnsi="Arial" w:cs="Arial"/>
                <w:b/>
                <w:bCs/>
                <w:sz w:val="20"/>
              </w:rPr>
              <w:t>30.06</w:t>
            </w:r>
            <w:r w:rsidR="00E2262A">
              <w:rPr>
                <w:rFonts w:ascii="Arial" w:hAnsi="Arial" w:cs="Arial"/>
                <w:b/>
                <w:bCs/>
                <w:sz w:val="20"/>
              </w:rPr>
              <w:t>.202</w:t>
            </w:r>
            <w:r w:rsidR="00DF28A9">
              <w:rPr>
                <w:rFonts w:ascii="Arial" w:hAnsi="Arial" w:cs="Arial"/>
                <w:b/>
                <w:bCs/>
                <w:sz w:val="20"/>
              </w:rPr>
              <w:t>4</w:t>
            </w:r>
            <w:r w:rsidR="0089528B" w:rsidRPr="00B14C47">
              <w:rPr>
                <w:rFonts w:ascii="Arial" w:hAnsi="Arial" w:cs="Arial"/>
                <w:b/>
                <w:bCs/>
                <w:sz w:val="20"/>
              </w:rPr>
              <w:t>г.</w:t>
            </w:r>
          </w:p>
        </w:tc>
        <w:tc>
          <w:tcPr>
            <w:tcW w:w="871" w:type="pct"/>
            <w:shd w:val="clear" w:color="000000" w:fill="FFFFFF"/>
            <w:noWrap/>
            <w:vAlign w:val="center"/>
            <w:hideMark/>
          </w:tcPr>
          <w:p w14:paraId="4004FA9A" w14:textId="70093649" w:rsidR="0089528B" w:rsidRPr="00B14C47" w:rsidRDefault="00DF28A9" w:rsidP="00281B1C">
            <w:pPr>
              <w:jc w:val="center"/>
              <w:rPr>
                <w:rFonts w:ascii="Arial" w:hAnsi="Arial" w:cs="Arial"/>
                <w:b/>
                <w:bCs/>
                <w:sz w:val="20"/>
              </w:rPr>
            </w:pPr>
            <w:r>
              <w:rPr>
                <w:rFonts w:ascii="Arial" w:hAnsi="Arial" w:cs="Arial"/>
                <w:b/>
                <w:bCs/>
                <w:sz w:val="20"/>
              </w:rPr>
              <w:t>31.12.2023</w:t>
            </w:r>
            <w:r w:rsidR="0089528B" w:rsidRPr="00B14C47">
              <w:rPr>
                <w:rFonts w:ascii="Arial" w:hAnsi="Arial" w:cs="Arial"/>
                <w:b/>
                <w:bCs/>
                <w:sz w:val="20"/>
              </w:rPr>
              <w:t>г.</w:t>
            </w:r>
          </w:p>
        </w:tc>
      </w:tr>
      <w:tr w:rsidR="0089528B" w:rsidRPr="00B14C47" w14:paraId="1368D0C1" w14:textId="77777777" w:rsidTr="00281B1C">
        <w:trPr>
          <w:trHeight w:val="202"/>
        </w:trPr>
        <w:tc>
          <w:tcPr>
            <w:tcW w:w="3095" w:type="pct"/>
            <w:tcBorders>
              <w:top w:val="nil"/>
            </w:tcBorders>
            <w:shd w:val="clear" w:color="000000" w:fill="FFFFFF"/>
            <w:vAlign w:val="bottom"/>
            <w:hideMark/>
          </w:tcPr>
          <w:p w14:paraId="4205DD85" w14:textId="77777777" w:rsidR="0089528B" w:rsidRPr="00B14C47" w:rsidRDefault="0089528B" w:rsidP="00281B1C">
            <w:pPr>
              <w:jc w:val="left"/>
              <w:rPr>
                <w:rFonts w:ascii="Arial" w:hAnsi="Arial" w:cs="Arial"/>
                <w:sz w:val="20"/>
              </w:rPr>
            </w:pPr>
            <w:r w:rsidRPr="00B14C47">
              <w:rPr>
                <w:rFonts w:ascii="Arial" w:hAnsi="Arial" w:cs="Arial"/>
                <w:sz w:val="20"/>
              </w:rPr>
              <w:t>Текущи търговски и други задължения</w:t>
            </w:r>
          </w:p>
        </w:tc>
        <w:tc>
          <w:tcPr>
            <w:tcW w:w="1034" w:type="pct"/>
            <w:tcBorders>
              <w:top w:val="single" w:sz="4" w:space="0" w:color="auto"/>
              <w:left w:val="nil"/>
            </w:tcBorders>
            <w:shd w:val="clear" w:color="000000" w:fill="FFFFFF"/>
            <w:noWrap/>
            <w:vAlign w:val="center"/>
          </w:tcPr>
          <w:p w14:paraId="761016FF" w14:textId="62E9F015" w:rsidR="0089528B" w:rsidRPr="00B14C47" w:rsidRDefault="0067669F" w:rsidP="00DF3F33">
            <w:pPr>
              <w:ind w:left="272" w:right="21" w:hanging="272"/>
              <w:jc w:val="right"/>
              <w:rPr>
                <w:rFonts w:ascii="Arial" w:hAnsi="Arial" w:cs="Arial"/>
                <w:sz w:val="20"/>
              </w:rPr>
            </w:pPr>
            <w:r>
              <w:rPr>
                <w:rFonts w:ascii="Arial" w:hAnsi="Arial" w:cs="Arial"/>
                <w:sz w:val="20"/>
              </w:rPr>
              <w:t>11</w:t>
            </w:r>
          </w:p>
        </w:tc>
        <w:tc>
          <w:tcPr>
            <w:tcW w:w="871" w:type="pct"/>
            <w:tcBorders>
              <w:top w:val="single" w:sz="4" w:space="0" w:color="auto"/>
            </w:tcBorders>
            <w:shd w:val="clear" w:color="000000" w:fill="FFFFFF"/>
            <w:noWrap/>
            <w:vAlign w:val="center"/>
          </w:tcPr>
          <w:p w14:paraId="624F331D" w14:textId="0EB82A76" w:rsidR="0089528B" w:rsidRPr="00B14C47" w:rsidRDefault="00BD5DEE" w:rsidP="00281B1C">
            <w:pPr>
              <w:ind w:left="272" w:right="21" w:hanging="272"/>
              <w:jc w:val="center"/>
              <w:rPr>
                <w:rFonts w:ascii="Arial" w:hAnsi="Arial" w:cs="Arial"/>
                <w:sz w:val="20"/>
              </w:rPr>
            </w:pPr>
            <w:r>
              <w:rPr>
                <w:rFonts w:ascii="Arial" w:hAnsi="Arial" w:cs="Arial"/>
                <w:sz w:val="20"/>
              </w:rPr>
              <w:t xml:space="preserve">                       37</w:t>
            </w:r>
          </w:p>
        </w:tc>
      </w:tr>
      <w:tr w:rsidR="0089528B" w:rsidRPr="00B14C47" w14:paraId="0B6FC134" w14:textId="77777777" w:rsidTr="00281B1C">
        <w:trPr>
          <w:trHeight w:val="257"/>
        </w:trPr>
        <w:tc>
          <w:tcPr>
            <w:tcW w:w="3095" w:type="pct"/>
            <w:tcBorders>
              <w:top w:val="nil"/>
            </w:tcBorders>
            <w:shd w:val="clear" w:color="000000" w:fill="FFFFFF"/>
            <w:vAlign w:val="bottom"/>
            <w:hideMark/>
          </w:tcPr>
          <w:p w14:paraId="371D4133" w14:textId="77777777" w:rsidR="0089528B" w:rsidRPr="00B14C47" w:rsidRDefault="0089528B" w:rsidP="00281B1C">
            <w:pPr>
              <w:jc w:val="left"/>
              <w:rPr>
                <w:rFonts w:ascii="Arial" w:hAnsi="Arial" w:cs="Arial"/>
                <w:sz w:val="20"/>
              </w:rPr>
            </w:pPr>
            <w:r w:rsidRPr="00B14C47">
              <w:rPr>
                <w:rFonts w:ascii="Arial" w:hAnsi="Arial" w:cs="Arial"/>
                <w:sz w:val="20"/>
              </w:rPr>
              <w:t>Текущи задължения по договори за цесии</w:t>
            </w:r>
          </w:p>
        </w:tc>
        <w:tc>
          <w:tcPr>
            <w:tcW w:w="1034" w:type="pct"/>
            <w:tcBorders>
              <w:top w:val="nil"/>
              <w:left w:val="nil"/>
            </w:tcBorders>
            <w:shd w:val="clear" w:color="000000" w:fill="FFFFFF"/>
            <w:noWrap/>
            <w:vAlign w:val="center"/>
          </w:tcPr>
          <w:p w14:paraId="785B0722" w14:textId="094CF149" w:rsidR="0089528B" w:rsidRPr="00B14C47" w:rsidRDefault="0067669F" w:rsidP="00DF3F33">
            <w:pPr>
              <w:ind w:left="272" w:right="21" w:hanging="272"/>
              <w:jc w:val="right"/>
              <w:rPr>
                <w:rFonts w:ascii="Arial" w:hAnsi="Arial" w:cs="Arial"/>
                <w:sz w:val="20"/>
              </w:rPr>
            </w:pPr>
            <w:r>
              <w:rPr>
                <w:rFonts w:ascii="Arial" w:hAnsi="Arial" w:cs="Arial"/>
                <w:sz w:val="20"/>
              </w:rPr>
              <w:t>37</w:t>
            </w:r>
          </w:p>
        </w:tc>
        <w:tc>
          <w:tcPr>
            <w:tcW w:w="871" w:type="pct"/>
            <w:tcBorders>
              <w:top w:val="nil"/>
            </w:tcBorders>
            <w:shd w:val="clear" w:color="000000" w:fill="FFFFFF"/>
            <w:noWrap/>
            <w:vAlign w:val="center"/>
          </w:tcPr>
          <w:p w14:paraId="572D99BD" w14:textId="29D7495D" w:rsidR="0089528B" w:rsidRPr="00B14C47" w:rsidRDefault="0089528B" w:rsidP="00281B1C">
            <w:pPr>
              <w:ind w:left="272" w:right="21" w:hanging="272"/>
              <w:jc w:val="center"/>
              <w:rPr>
                <w:rFonts w:ascii="Arial" w:hAnsi="Arial" w:cs="Arial"/>
                <w:sz w:val="20"/>
              </w:rPr>
            </w:pPr>
            <w:r w:rsidRPr="00B14C47">
              <w:rPr>
                <w:rFonts w:ascii="Arial" w:hAnsi="Arial" w:cs="Arial"/>
                <w:sz w:val="20"/>
              </w:rPr>
              <w:t xml:space="preserve">                   </w:t>
            </w:r>
            <w:r w:rsidR="00116896" w:rsidRPr="00B14C47">
              <w:rPr>
                <w:rFonts w:ascii="Arial" w:hAnsi="Arial" w:cs="Arial"/>
                <w:sz w:val="20"/>
              </w:rPr>
              <w:t xml:space="preserve"> </w:t>
            </w:r>
            <w:r w:rsidR="0067669F">
              <w:rPr>
                <w:rFonts w:ascii="Arial" w:hAnsi="Arial" w:cs="Arial"/>
                <w:sz w:val="20"/>
              </w:rPr>
              <w:t xml:space="preserve">   37</w:t>
            </w:r>
          </w:p>
        </w:tc>
      </w:tr>
      <w:tr w:rsidR="0089528B" w:rsidRPr="00B14C47" w14:paraId="42E86AB9" w14:textId="77777777" w:rsidTr="00281B1C">
        <w:trPr>
          <w:trHeight w:val="120"/>
        </w:trPr>
        <w:tc>
          <w:tcPr>
            <w:tcW w:w="3095" w:type="pct"/>
            <w:tcBorders>
              <w:top w:val="nil"/>
            </w:tcBorders>
            <w:shd w:val="clear" w:color="000000" w:fill="FFFFFF"/>
            <w:vAlign w:val="bottom"/>
          </w:tcPr>
          <w:p w14:paraId="59539DB0" w14:textId="77777777" w:rsidR="0089528B" w:rsidRPr="00B14C47" w:rsidRDefault="0089528B" w:rsidP="00281B1C">
            <w:pPr>
              <w:jc w:val="left"/>
              <w:rPr>
                <w:rFonts w:ascii="Arial" w:hAnsi="Arial" w:cs="Arial"/>
                <w:sz w:val="20"/>
              </w:rPr>
            </w:pPr>
            <w:r w:rsidRPr="00B14C47">
              <w:rPr>
                <w:rFonts w:ascii="Arial" w:hAnsi="Arial" w:cs="Arial"/>
                <w:sz w:val="20"/>
              </w:rPr>
              <w:t>Текущи задължения по получени заеми</w:t>
            </w:r>
          </w:p>
        </w:tc>
        <w:tc>
          <w:tcPr>
            <w:tcW w:w="1034" w:type="pct"/>
            <w:tcBorders>
              <w:top w:val="nil"/>
              <w:left w:val="nil"/>
            </w:tcBorders>
            <w:shd w:val="clear" w:color="000000" w:fill="FFFFFF"/>
            <w:noWrap/>
            <w:vAlign w:val="center"/>
          </w:tcPr>
          <w:p w14:paraId="77D552CF" w14:textId="43262D6F" w:rsidR="0089528B" w:rsidRPr="00B14C47" w:rsidRDefault="0067669F" w:rsidP="00DF3F33">
            <w:pPr>
              <w:ind w:left="272" w:right="21" w:hanging="272"/>
              <w:jc w:val="right"/>
              <w:rPr>
                <w:rFonts w:ascii="Arial" w:hAnsi="Arial" w:cs="Arial"/>
                <w:sz w:val="20"/>
              </w:rPr>
            </w:pPr>
            <w:r>
              <w:rPr>
                <w:rFonts w:ascii="Arial" w:hAnsi="Arial" w:cs="Arial"/>
                <w:sz w:val="20"/>
              </w:rPr>
              <w:t>186</w:t>
            </w:r>
          </w:p>
        </w:tc>
        <w:tc>
          <w:tcPr>
            <w:tcW w:w="871" w:type="pct"/>
            <w:tcBorders>
              <w:top w:val="nil"/>
            </w:tcBorders>
            <w:shd w:val="clear" w:color="000000" w:fill="FFFFFF"/>
            <w:noWrap/>
            <w:vAlign w:val="center"/>
          </w:tcPr>
          <w:p w14:paraId="4DD6C24A" w14:textId="17070767" w:rsidR="0089528B" w:rsidRPr="00B14C47" w:rsidRDefault="0067669F" w:rsidP="00281B1C">
            <w:pPr>
              <w:ind w:left="272" w:right="21" w:hanging="272"/>
              <w:jc w:val="right"/>
              <w:rPr>
                <w:rFonts w:ascii="Arial" w:hAnsi="Arial" w:cs="Arial"/>
                <w:sz w:val="20"/>
              </w:rPr>
            </w:pPr>
            <w:r>
              <w:rPr>
                <w:rFonts w:ascii="Arial" w:hAnsi="Arial" w:cs="Arial"/>
                <w:sz w:val="20"/>
              </w:rPr>
              <w:t>148</w:t>
            </w:r>
          </w:p>
        </w:tc>
      </w:tr>
      <w:tr w:rsidR="0089528B" w:rsidRPr="00B14C47" w14:paraId="4EA3DEBB" w14:textId="77777777" w:rsidTr="00281B1C">
        <w:trPr>
          <w:trHeight w:val="173"/>
        </w:trPr>
        <w:tc>
          <w:tcPr>
            <w:tcW w:w="3095" w:type="pct"/>
            <w:tcBorders>
              <w:top w:val="nil"/>
            </w:tcBorders>
            <w:shd w:val="clear" w:color="000000" w:fill="FFFFFF"/>
            <w:vAlign w:val="bottom"/>
          </w:tcPr>
          <w:p w14:paraId="69530CE0" w14:textId="77777777" w:rsidR="0089528B" w:rsidRPr="00B14C47" w:rsidRDefault="0089528B" w:rsidP="00281B1C">
            <w:pPr>
              <w:jc w:val="left"/>
              <w:rPr>
                <w:rFonts w:ascii="Arial" w:hAnsi="Arial" w:cs="Arial"/>
                <w:b/>
                <w:sz w:val="20"/>
              </w:rPr>
            </w:pPr>
            <w:r w:rsidRPr="00B14C47">
              <w:rPr>
                <w:rFonts w:ascii="Arial" w:hAnsi="Arial" w:cs="Arial"/>
                <w:b/>
                <w:sz w:val="20"/>
              </w:rPr>
              <w:t>Общо финансови пасиви</w:t>
            </w:r>
          </w:p>
        </w:tc>
        <w:tc>
          <w:tcPr>
            <w:tcW w:w="1034" w:type="pct"/>
            <w:tcBorders>
              <w:top w:val="single" w:sz="12" w:space="0" w:color="auto"/>
              <w:left w:val="nil"/>
              <w:bottom w:val="single" w:sz="18" w:space="0" w:color="auto"/>
            </w:tcBorders>
            <w:shd w:val="clear" w:color="000000" w:fill="FFFFFF"/>
            <w:noWrap/>
            <w:vAlign w:val="center"/>
          </w:tcPr>
          <w:p w14:paraId="3221ED21" w14:textId="123A4301" w:rsidR="0089528B" w:rsidRPr="00B14C47" w:rsidRDefault="0067669F" w:rsidP="00DF3F33">
            <w:pPr>
              <w:ind w:left="272" w:right="21" w:hanging="272"/>
              <w:jc w:val="right"/>
              <w:rPr>
                <w:rFonts w:ascii="Arial" w:hAnsi="Arial" w:cs="Arial"/>
                <w:b/>
                <w:sz w:val="20"/>
              </w:rPr>
            </w:pPr>
            <w:r>
              <w:rPr>
                <w:rFonts w:ascii="Arial" w:hAnsi="Arial" w:cs="Arial"/>
                <w:b/>
                <w:sz w:val="20"/>
              </w:rPr>
              <w:t>234</w:t>
            </w:r>
          </w:p>
        </w:tc>
        <w:tc>
          <w:tcPr>
            <w:tcW w:w="871" w:type="pct"/>
            <w:tcBorders>
              <w:top w:val="single" w:sz="12" w:space="0" w:color="auto"/>
              <w:bottom w:val="single" w:sz="18" w:space="0" w:color="auto"/>
            </w:tcBorders>
            <w:shd w:val="clear" w:color="000000" w:fill="FFFFFF"/>
            <w:noWrap/>
            <w:vAlign w:val="center"/>
          </w:tcPr>
          <w:p w14:paraId="5A92D936" w14:textId="4F9718EF" w:rsidR="0089528B" w:rsidRPr="00B14C47" w:rsidRDefault="00DF28A9" w:rsidP="00281B1C">
            <w:pPr>
              <w:ind w:left="272" w:right="21" w:hanging="272"/>
              <w:jc w:val="right"/>
              <w:rPr>
                <w:rFonts w:ascii="Arial" w:hAnsi="Arial" w:cs="Arial"/>
                <w:b/>
                <w:sz w:val="20"/>
              </w:rPr>
            </w:pPr>
            <w:r>
              <w:rPr>
                <w:rFonts w:ascii="Arial" w:hAnsi="Arial" w:cs="Arial"/>
                <w:b/>
                <w:sz w:val="20"/>
              </w:rPr>
              <w:t>222</w:t>
            </w:r>
          </w:p>
        </w:tc>
      </w:tr>
    </w:tbl>
    <w:p w14:paraId="7FA49E45" w14:textId="77777777" w:rsidR="0089528B" w:rsidRPr="00B14C47" w:rsidRDefault="0089528B" w:rsidP="00EC17E2">
      <w:pPr>
        <w:pStyle w:val="Heading2"/>
        <w:tabs>
          <w:tab w:val="left" w:pos="227"/>
          <w:tab w:val="left" w:pos="454"/>
          <w:tab w:val="left" w:pos="680"/>
          <w:tab w:val="left" w:pos="907"/>
        </w:tabs>
        <w:spacing w:before="0" w:after="120"/>
        <w:rPr>
          <w:rFonts w:ascii="Arial" w:hAnsi="Arial" w:cs="Arial"/>
          <w:b w:val="0"/>
          <w:bCs w:val="0"/>
          <w:i/>
          <w:iCs/>
          <w:sz w:val="20"/>
          <w:szCs w:val="20"/>
          <w:lang w:val="bg-BG"/>
        </w:rPr>
      </w:pPr>
    </w:p>
    <w:p w14:paraId="6958C44F" w14:textId="77777777" w:rsidR="00EC17E2" w:rsidRPr="00B14C47" w:rsidRDefault="00EC17E2" w:rsidP="00EC17E2">
      <w:pPr>
        <w:pStyle w:val="Heading2"/>
        <w:tabs>
          <w:tab w:val="left" w:pos="227"/>
          <w:tab w:val="left" w:pos="454"/>
          <w:tab w:val="left" w:pos="680"/>
          <w:tab w:val="left" w:pos="907"/>
        </w:tabs>
        <w:spacing w:before="0" w:after="120"/>
        <w:rPr>
          <w:rFonts w:ascii="Arial" w:hAnsi="Arial" w:cs="Arial"/>
          <w:b w:val="0"/>
          <w:bCs w:val="0"/>
          <w:i/>
          <w:iCs/>
          <w:sz w:val="20"/>
          <w:szCs w:val="20"/>
          <w:lang w:val="bg-BG"/>
        </w:rPr>
      </w:pPr>
      <w:bookmarkStart w:id="188" w:name="_Toc96871917"/>
      <w:bookmarkStart w:id="189" w:name="_Toc129350908"/>
      <w:bookmarkStart w:id="190" w:name="_Toc160806751"/>
      <w:bookmarkStart w:id="191" w:name="_Toc164268388"/>
      <w:r w:rsidRPr="00B14C47">
        <w:rPr>
          <w:rFonts w:ascii="Arial" w:hAnsi="Arial" w:cs="Arial"/>
          <w:b w:val="0"/>
          <w:bCs w:val="0"/>
          <w:i/>
          <w:iCs/>
          <w:sz w:val="20"/>
          <w:szCs w:val="20"/>
        </w:rPr>
        <w:t>Информация за финансовия риск</w:t>
      </w:r>
      <w:bookmarkStart w:id="192" w:name="_Toc473125074"/>
      <w:bookmarkEnd w:id="183"/>
      <w:bookmarkEnd w:id="184"/>
      <w:bookmarkEnd w:id="185"/>
      <w:bookmarkEnd w:id="186"/>
      <w:bookmarkEnd w:id="187"/>
      <w:bookmarkEnd w:id="188"/>
      <w:bookmarkEnd w:id="189"/>
      <w:bookmarkEnd w:id="190"/>
      <w:bookmarkEnd w:id="191"/>
      <w:r w:rsidRPr="00B14C47">
        <w:rPr>
          <w:rFonts w:ascii="Arial" w:hAnsi="Arial" w:cs="Arial"/>
          <w:b w:val="0"/>
          <w:bCs w:val="0"/>
          <w:i/>
          <w:iCs/>
          <w:sz w:val="20"/>
          <w:szCs w:val="20"/>
          <w:lang w:val="bg-BG"/>
        </w:rPr>
        <w:t xml:space="preserve">  </w:t>
      </w:r>
    </w:p>
    <w:p w14:paraId="0D7005A9" w14:textId="77777777" w:rsidR="00CE5F18" w:rsidRPr="00B14C47" w:rsidRDefault="00EC17E2" w:rsidP="000B75C7">
      <w:pPr>
        <w:pStyle w:val="Heading2"/>
        <w:tabs>
          <w:tab w:val="left" w:pos="227"/>
          <w:tab w:val="left" w:pos="454"/>
          <w:tab w:val="left" w:pos="680"/>
          <w:tab w:val="left" w:pos="907"/>
        </w:tabs>
        <w:spacing w:before="0" w:after="120"/>
        <w:rPr>
          <w:rFonts w:ascii="Arial" w:hAnsi="Arial" w:cs="Arial"/>
          <w:sz w:val="20"/>
        </w:rPr>
      </w:pPr>
      <w:bookmarkStart w:id="193" w:name="_Toc4683434"/>
      <w:bookmarkStart w:id="194" w:name="_Toc4685328"/>
      <w:bookmarkStart w:id="195" w:name="_Toc4692222"/>
      <w:bookmarkStart w:id="196" w:name="_Toc67568194"/>
      <w:bookmarkStart w:id="197" w:name="_Toc96871918"/>
      <w:bookmarkStart w:id="198" w:name="_Toc129350909"/>
      <w:bookmarkStart w:id="199" w:name="_Toc160806752"/>
      <w:bookmarkStart w:id="200" w:name="_Toc164268389"/>
      <w:proofErr w:type="gramStart"/>
      <w:r w:rsidRPr="00B14C47">
        <w:rPr>
          <w:rFonts w:ascii="Arial" w:hAnsi="Arial" w:cs="Arial"/>
          <w:sz w:val="20"/>
          <w:szCs w:val="20"/>
        </w:rPr>
        <w:t>Кредитен  риск</w:t>
      </w:r>
      <w:bookmarkEnd w:id="192"/>
      <w:bookmarkEnd w:id="193"/>
      <w:bookmarkEnd w:id="194"/>
      <w:bookmarkEnd w:id="195"/>
      <w:bookmarkEnd w:id="196"/>
      <w:bookmarkEnd w:id="197"/>
      <w:bookmarkEnd w:id="198"/>
      <w:bookmarkEnd w:id="199"/>
      <w:bookmarkEnd w:id="200"/>
      <w:proofErr w:type="gramEnd"/>
    </w:p>
    <w:p w14:paraId="1D95DAA5" w14:textId="77777777" w:rsidR="00EC17E2" w:rsidRPr="00B14C47" w:rsidRDefault="00EC17E2" w:rsidP="00EC17E2">
      <w:pPr>
        <w:rPr>
          <w:rFonts w:ascii="Arial" w:hAnsi="Arial" w:cs="Arial"/>
          <w:sz w:val="20"/>
        </w:rPr>
      </w:pPr>
      <w:r w:rsidRPr="00B14C47">
        <w:rPr>
          <w:rFonts w:ascii="Arial" w:hAnsi="Arial" w:cs="Arial"/>
          <w:sz w:val="20"/>
        </w:rPr>
        <w:t>Дружеството контролира своята изложеност на кредитен риск чрез установяване на граници на риска по отношение на отделните клиенти. Дружеството е възприело политика на извършване на делова активност само с кредитоспособни насрещни страни.</w:t>
      </w:r>
    </w:p>
    <w:p w14:paraId="18F1B2E7" w14:textId="77777777" w:rsidR="00EC17E2" w:rsidRPr="00B14C47" w:rsidRDefault="00EC17E2" w:rsidP="00EC17E2">
      <w:pPr>
        <w:rPr>
          <w:rFonts w:ascii="Arial" w:hAnsi="Arial" w:cs="Arial"/>
          <w:sz w:val="20"/>
        </w:rPr>
      </w:pPr>
      <w:r w:rsidRPr="00B14C47">
        <w:rPr>
          <w:rFonts w:ascii="Arial" w:hAnsi="Arial" w:cs="Arial"/>
          <w:sz w:val="20"/>
        </w:rPr>
        <w:t>Дружеството не държи допълнително обезпечение за никое от своите вземания.</w:t>
      </w:r>
    </w:p>
    <w:p w14:paraId="0B68FBEC" w14:textId="77777777" w:rsidR="00EC17E2" w:rsidRPr="00B14C47" w:rsidRDefault="00EC17E2" w:rsidP="00EC17E2">
      <w:pPr>
        <w:rPr>
          <w:rFonts w:ascii="Arial" w:hAnsi="Arial" w:cs="Arial"/>
          <w:sz w:val="20"/>
        </w:rPr>
      </w:pPr>
      <w:r w:rsidRPr="00B14C47">
        <w:rPr>
          <w:rFonts w:ascii="Arial" w:hAnsi="Arial" w:cs="Arial"/>
          <w:sz w:val="20"/>
        </w:rPr>
        <w:t>Всички вземания, които са просрочени към отчетната дата, са съответно обезценени.</w:t>
      </w:r>
    </w:p>
    <w:p w14:paraId="55954275" w14:textId="3482FA24" w:rsidR="00EC17E2" w:rsidRPr="00B14C47" w:rsidRDefault="00EC17E2" w:rsidP="00EC17E2">
      <w:pPr>
        <w:rPr>
          <w:rFonts w:ascii="Arial" w:hAnsi="Arial" w:cs="Arial"/>
          <w:sz w:val="20"/>
        </w:rPr>
      </w:pPr>
      <w:r w:rsidRPr="00B14C47">
        <w:rPr>
          <w:rFonts w:ascii="Arial" w:hAnsi="Arial" w:cs="Arial"/>
          <w:sz w:val="20"/>
        </w:rPr>
        <w:t xml:space="preserve">Кредитният риск, който възниква от другите финансови активи на Дружеството, като например, парични средства и други финансови активи, представлява кредитната експозицията на Дружеството, произтичаща от възможността неговите контрагенти да не изпълнят своите задължения. Максималната кредитна експозиция на Дружеството по повод на признатите финансови активи, възлиза на съответната им стойност по отчета за финансовото състояние към </w:t>
      </w:r>
      <w:r w:rsidR="00D060A0" w:rsidRPr="00B14C47">
        <w:rPr>
          <w:rFonts w:ascii="Arial" w:hAnsi="Arial" w:cs="Arial"/>
          <w:sz w:val="20"/>
        </w:rPr>
        <w:t>3</w:t>
      </w:r>
      <w:r w:rsidR="0067669F">
        <w:rPr>
          <w:rFonts w:ascii="Arial" w:hAnsi="Arial" w:cs="Arial"/>
          <w:sz w:val="20"/>
        </w:rPr>
        <w:t>0</w:t>
      </w:r>
      <w:r w:rsidR="00D060A0" w:rsidRPr="00B14C47">
        <w:rPr>
          <w:rFonts w:ascii="Arial" w:hAnsi="Arial" w:cs="Arial"/>
          <w:sz w:val="20"/>
        </w:rPr>
        <w:t xml:space="preserve"> </w:t>
      </w:r>
      <w:r w:rsidR="0067669F">
        <w:rPr>
          <w:rFonts w:ascii="Arial" w:hAnsi="Arial" w:cs="Arial"/>
          <w:sz w:val="20"/>
        </w:rPr>
        <w:t xml:space="preserve">юни </w:t>
      </w:r>
      <w:r w:rsidR="007E1002">
        <w:rPr>
          <w:rFonts w:ascii="Arial" w:hAnsi="Arial" w:cs="Arial"/>
          <w:sz w:val="20"/>
        </w:rPr>
        <w:t>2024</w:t>
      </w:r>
      <w:r w:rsidR="00547610" w:rsidRPr="00B14C47">
        <w:rPr>
          <w:rFonts w:ascii="Arial" w:hAnsi="Arial" w:cs="Arial"/>
          <w:sz w:val="20"/>
        </w:rPr>
        <w:t>г</w:t>
      </w:r>
      <w:r w:rsidRPr="00B14C47">
        <w:rPr>
          <w:rFonts w:ascii="Arial" w:hAnsi="Arial" w:cs="Arial"/>
          <w:sz w:val="20"/>
        </w:rPr>
        <w:t>.</w:t>
      </w:r>
    </w:p>
    <w:p w14:paraId="5A236568" w14:textId="77777777" w:rsidR="00EC17E2" w:rsidRPr="00B14C47" w:rsidRDefault="00EC17E2" w:rsidP="00EC17E2">
      <w:pPr>
        <w:rPr>
          <w:rFonts w:ascii="Arial" w:hAnsi="Arial" w:cs="Arial"/>
          <w:sz w:val="20"/>
        </w:rPr>
      </w:pPr>
      <w:r w:rsidRPr="00B14C47">
        <w:rPr>
          <w:rFonts w:ascii="Arial" w:hAnsi="Arial" w:cs="Arial"/>
          <w:sz w:val="20"/>
        </w:rPr>
        <w:t>Дружеството не държи допълнително обезпечение за никое от своите вземания.</w:t>
      </w:r>
    </w:p>
    <w:p w14:paraId="1AF63DFF" w14:textId="77777777" w:rsidR="00EC17E2" w:rsidRPr="00B14C47" w:rsidRDefault="00EC17E2" w:rsidP="00EC17E2">
      <w:pPr>
        <w:rPr>
          <w:rFonts w:ascii="Arial" w:hAnsi="Arial" w:cs="Arial"/>
          <w:sz w:val="20"/>
        </w:rPr>
      </w:pPr>
      <w:r w:rsidRPr="00B14C47">
        <w:rPr>
          <w:rFonts w:ascii="Arial" w:hAnsi="Arial" w:cs="Arial"/>
          <w:sz w:val="20"/>
        </w:rPr>
        <w:t>Всички вземания, които са просрочени към отчетната дата</w:t>
      </w:r>
      <w:r w:rsidRPr="00B14C47">
        <w:rPr>
          <w:rFonts w:ascii="Arial" w:hAnsi="Arial" w:cs="Arial"/>
          <w:sz w:val="20"/>
          <w:lang w:val="en-US"/>
        </w:rPr>
        <w:t xml:space="preserve"> </w:t>
      </w:r>
      <w:r w:rsidRPr="00B14C47">
        <w:rPr>
          <w:rFonts w:ascii="Arial" w:hAnsi="Arial" w:cs="Arial"/>
          <w:sz w:val="20"/>
        </w:rPr>
        <w:t xml:space="preserve">и не са предоговорени до датата на одобрение на финансовия отчет, са съответно обезценени. </w:t>
      </w:r>
    </w:p>
    <w:p w14:paraId="73B512BC" w14:textId="353A50EE" w:rsidR="00EC17E2" w:rsidRDefault="00EC17E2" w:rsidP="00EC17E2">
      <w:pPr>
        <w:rPr>
          <w:rFonts w:ascii="Arial" w:hAnsi="Arial" w:cs="Arial"/>
          <w:sz w:val="20"/>
        </w:rPr>
      </w:pPr>
      <w:r w:rsidRPr="00B14C47">
        <w:rPr>
          <w:rFonts w:ascii="Arial" w:hAnsi="Arial" w:cs="Arial"/>
          <w:sz w:val="20"/>
        </w:rPr>
        <w:t xml:space="preserve">Кредитният риск, който възниква от другите финансови активи на Дружеството, като например, парични средства и други финансови активи, представлява кредитната експозицията на Дружеството, произтичаща от възможността неговите контрагенти да не изпълнят своите задължения. Максималната кредитна експозиция на Дружеството по повод на признатите финансови активи, възлиза на съответната им стойност по индивидуалния отчет за финансовото състояние към </w:t>
      </w:r>
      <w:r w:rsidR="0067669F" w:rsidRPr="00B14C47">
        <w:rPr>
          <w:rFonts w:ascii="Arial" w:hAnsi="Arial" w:cs="Arial"/>
          <w:sz w:val="20"/>
        </w:rPr>
        <w:t>3</w:t>
      </w:r>
      <w:r w:rsidR="0067669F">
        <w:rPr>
          <w:rFonts w:ascii="Arial" w:hAnsi="Arial" w:cs="Arial"/>
          <w:sz w:val="20"/>
        </w:rPr>
        <w:t>0</w:t>
      </w:r>
      <w:r w:rsidR="0067669F" w:rsidRPr="00B14C47">
        <w:rPr>
          <w:rFonts w:ascii="Arial" w:hAnsi="Arial" w:cs="Arial"/>
          <w:sz w:val="20"/>
        </w:rPr>
        <w:t xml:space="preserve"> </w:t>
      </w:r>
      <w:r w:rsidR="0067669F">
        <w:rPr>
          <w:rFonts w:ascii="Arial" w:hAnsi="Arial" w:cs="Arial"/>
          <w:sz w:val="20"/>
        </w:rPr>
        <w:t>юни 2024</w:t>
      </w:r>
      <w:r w:rsidR="0067669F" w:rsidRPr="00B14C47">
        <w:rPr>
          <w:rFonts w:ascii="Arial" w:hAnsi="Arial" w:cs="Arial"/>
          <w:sz w:val="20"/>
        </w:rPr>
        <w:t>г</w:t>
      </w:r>
      <w:r w:rsidRPr="00B14C47">
        <w:rPr>
          <w:rFonts w:ascii="Arial" w:hAnsi="Arial" w:cs="Arial"/>
          <w:sz w:val="20"/>
        </w:rPr>
        <w:t xml:space="preserve">. </w:t>
      </w:r>
    </w:p>
    <w:p w14:paraId="1E61F94F" w14:textId="77777777" w:rsidR="00CA29CF" w:rsidRPr="00B14C47" w:rsidRDefault="00CA29CF" w:rsidP="00EC17E2">
      <w:pPr>
        <w:rPr>
          <w:rFonts w:ascii="Arial" w:hAnsi="Arial" w:cs="Arial"/>
          <w:sz w:val="20"/>
        </w:rPr>
      </w:pPr>
    </w:p>
    <w:p w14:paraId="049CB1DC" w14:textId="77777777" w:rsidR="00EC17E2" w:rsidRPr="007E1002" w:rsidRDefault="00EC17E2" w:rsidP="00EC17E2">
      <w:pPr>
        <w:rPr>
          <w:rFonts w:ascii="Arial" w:hAnsi="Arial" w:cs="Arial"/>
          <w:sz w:val="20"/>
        </w:rPr>
      </w:pPr>
      <w:r w:rsidRPr="007E1002">
        <w:rPr>
          <w:rFonts w:ascii="Arial" w:hAnsi="Arial" w:cs="Arial"/>
          <w:sz w:val="20"/>
        </w:rPr>
        <w:t>Максималната кредитна експозиция на Дружеството е представена по-долу:</w:t>
      </w:r>
    </w:p>
    <w:p w14:paraId="6A0AF485" w14:textId="77777777" w:rsidR="00E642F8" w:rsidRPr="007E1002" w:rsidRDefault="00E642F8" w:rsidP="00EC17E2">
      <w:pPr>
        <w:rPr>
          <w:rFonts w:ascii="Arial" w:hAnsi="Arial" w:cs="Arial"/>
          <w:sz w:val="20"/>
        </w:rPr>
      </w:pPr>
    </w:p>
    <w:tbl>
      <w:tblPr>
        <w:tblW w:w="0" w:type="auto"/>
        <w:tblInd w:w="8" w:type="dxa"/>
        <w:tblLayout w:type="fixed"/>
        <w:tblCellMar>
          <w:left w:w="0" w:type="dxa"/>
          <w:right w:w="0" w:type="dxa"/>
        </w:tblCellMar>
        <w:tblLook w:val="0000" w:firstRow="0" w:lastRow="0" w:firstColumn="0" w:lastColumn="0" w:noHBand="0" w:noVBand="0"/>
      </w:tblPr>
      <w:tblGrid>
        <w:gridCol w:w="5529"/>
        <w:gridCol w:w="141"/>
        <w:gridCol w:w="1560"/>
        <w:gridCol w:w="141"/>
        <w:gridCol w:w="1417"/>
      </w:tblGrid>
      <w:tr w:rsidR="00EC17E2" w:rsidRPr="007E1002" w14:paraId="0ECEDB31" w14:textId="77777777" w:rsidTr="0076262B">
        <w:trPr>
          <w:cantSplit/>
        </w:trPr>
        <w:tc>
          <w:tcPr>
            <w:tcW w:w="5529" w:type="dxa"/>
          </w:tcPr>
          <w:p w14:paraId="41538CAD" w14:textId="77777777" w:rsidR="00EC17E2" w:rsidRPr="007E1002" w:rsidRDefault="00EC17E2" w:rsidP="003833F6">
            <w:pPr>
              <w:jc w:val="center"/>
              <w:rPr>
                <w:rFonts w:ascii="Arial" w:hAnsi="Arial" w:cs="Arial"/>
                <w:sz w:val="20"/>
              </w:rPr>
            </w:pPr>
          </w:p>
        </w:tc>
        <w:tc>
          <w:tcPr>
            <w:tcW w:w="141" w:type="dxa"/>
          </w:tcPr>
          <w:p w14:paraId="3D489413" w14:textId="77777777" w:rsidR="00EC17E2" w:rsidRPr="007E1002" w:rsidRDefault="00EC17E2" w:rsidP="003833F6">
            <w:pPr>
              <w:jc w:val="center"/>
              <w:rPr>
                <w:rFonts w:ascii="Arial" w:hAnsi="Arial" w:cs="Arial"/>
                <w:sz w:val="20"/>
              </w:rPr>
            </w:pPr>
          </w:p>
        </w:tc>
        <w:tc>
          <w:tcPr>
            <w:tcW w:w="1560" w:type="dxa"/>
            <w:tcBorders>
              <w:bottom w:val="single" w:sz="4" w:space="0" w:color="auto"/>
            </w:tcBorders>
          </w:tcPr>
          <w:p w14:paraId="246584D4" w14:textId="382FF5B8" w:rsidR="00EC17E2" w:rsidRPr="007E1002" w:rsidRDefault="0067669F" w:rsidP="00F606E3">
            <w:pPr>
              <w:jc w:val="center"/>
              <w:rPr>
                <w:rFonts w:ascii="Arial" w:hAnsi="Arial" w:cs="Arial"/>
                <w:sz w:val="20"/>
              </w:rPr>
            </w:pPr>
            <w:r>
              <w:rPr>
                <w:rFonts w:ascii="Arial" w:hAnsi="Arial" w:cs="Arial"/>
                <w:sz w:val="20"/>
              </w:rPr>
              <w:t>30</w:t>
            </w:r>
            <w:r w:rsidR="00F71F16" w:rsidRPr="007E1002">
              <w:rPr>
                <w:rFonts w:ascii="Arial" w:hAnsi="Arial" w:cs="Arial"/>
                <w:sz w:val="20"/>
              </w:rPr>
              <w:t xml:space="preserve">  </w:t>
            </w:r>
            <w:r>
              <w:rPr>
                <w:rFonts w:ascii="Arial" w:hAnsi="Arial" w:cs="Arial"/>
                <w:sz w:val="20"/>
              </w:rPr>
              <w:t>юни</w:t>
            </w:r>
            <w:r w:rsidR="008A09BC" w:rsidRPr="007E1002">
              <w:rPr>
                <w:rFonts w:ascii="Arial" w:hAnsi="Arial" w:cs="Arial"/>
                <w:sz w:val="20"/>
                <w:lang w:val="en-US"/>
              </w:rPr>
              <w:t xml:space="preserve"> </w:t>
            </w:r>
            <w:r w:rsidR="008A09BC" w:rsidRPr="007E1002">
              <w:rPr>
                <w:rFonts w:ascii="Arial" w:hAnsi="Arial" w:cs="Arial"/>
                <w:sz w:val="20"/>
              </w:rPr>
              <w:t xml:space="preserve"> 20</w:t>
            </w:r>
            <w:r w:rsidR="007E1002" w:rsidRPr="007E1002">
              <w:rPr>
                <w:rFonts w:ascii="Arial" w:hAnsi="Arial" w:cs="Arial"/>
                <w:sz w:val="20"/>
              </w:rPr>
              <w:t>24</w:t>
            </w:r>
            <w:r w:rsidR="008A09BC" w:rsidRPr="007E1002">
              <w:rPr>
                <w:rFonts w:ascii="Arial" w:hAnsi="Arial" w:cs="Arial"/>
                <w:sz w:val="20"/>
              </w:rPr>
              <w:t xml:space="preserve">г </w:t>
            </w:r>
          </w:p>
        </w:tc>
        <w:tc>
          <w:tcPr>
            <w:tcW w:w="141" w:type="dxa"/>
            <w:tcBorders>
              <w:bottom w:val="single" w:sz="4" w:space="0" w:color="auto"/>
            </w:tcBorders>
          </w:tcPr>
          <w:p w14:paraId="65A59061" w14:textId="77777777" w:rsidR="00EC17E2" w:rsidRPr="007E1002" w:rsidRDefault="00EC17E2" w:rsidP="003833F6">
            <w:pPr>
              <w:jc w:val="center"/>
              <w:rPr>
                <w:rFonts w:ascii="Arial" w:hAnsi="Arial" w:cs="Arial"/>
                <w:sz w:val="20"/>
              </w:rPr>
            </w:pPr>
          </w:p>
        </w:tc>
        <w:tc>
          <w:tcPr>
            <w:tcW w:w="1417" w:type="dxa"/>
            <w:tcBorders>
              <w:bottom w:val="single" w:sz="4" w:space="0" w:color="auto"/>
            </w:tcBorders>
          </w:tcPr>
          <w:p w14:paraId="1BA0D180" w14:textId="77777777" w:rsidR="00EC17E2" w:rsidRPr="007E1002" w:rsidRDefault="00EC17E2" w:rsidP="003833F6">
            <w:pPr>
              <w:jc w:val="center"/>
              <w:rPr>
                <w:rFonts w:ascii="Arial" w:hAnsi="Arial" w:cs="Arial"/>
                <w:sz w:val="20"/>
              </w:rPr>
            </w:pPr>
            <w:r w:rsidRPr="007E1002">
              <w:rPr>
                <w:rFonts w:ascii="Arial" w:hAnsi="Arial" w:cs="Arial"/>
                <w:sz w:val="20"/>
              </w:rPr>
              <w:t xml:space="preserve">31 декември </w:t>
            </w:r>
          </w:p>
          <w:p w14:paraId="0391E36F" w14:textId="183D23A9" w:rsidR="00EC17E2" w:rsidRPr="007E1002" w:rsidRDefault="00EC17E2" w:rsidP="00244DA3">
            <w:pPr>
              <w:jc w:val="center"/>
              <w:rPr>
                <w:rFonts w:ascii="Arial" w:hAnsi="Arial" w:cs="Arial"/>
                <w:sz w:val="20"/>
              </w:rPr>
            </w:pPr>
            <w:r w:rsidRPr="007E1002">
              <w:rPr>
                <w:rFonts w:ascii="Arial" w:hAnsi="Arial" w:cs="Arial"/>
                <w:sz w:val="20"/>
              </w:rPr>
              <w:t>20</w:t>
            </w:r>
            <w:r w:rsidR="007E1002" w:rsidRPr="007E1002">
              <w:rPr>
                <w:rFonts w:ascii="Arial" w:hAnsi="Arial" w:cs="Arial"/>
                <w:sz w:val="20"/>
              </w:rPr>
              <w:t>23</w:t>
            </w:r>
          </w:p>
        </w:tc>
      </w:tr>
      <w:tr w:rsidR="00EC17E2" w:rsidRPr="007E1002" w14:paraId="367CB5EC" w14:textId="77777777" w:rsidTr="003833F6">
        <w:trPr>
          <w:cantSplit/>
          <w:trHeight w:hRule="exact" w:val="240"/>
        </w:trPr>
        <w:tc>
          <w:tcPr>
            <w:tcW w:w="5529" w:type="dxa"/>
          </w:tcPr>
          <w:p w14:paraId="30BB8D51" w14:textId="77777777" w:rsidR="00EC17E2" w:rsidRPr="007E1002" w:rsidRDefault="00EC17E2" w:rsidP="003833F6">
            <w:pPr>
              <w:rPr>
                <w:rFonts w:ascii="Arial" w:hAnsi="Arial" w:cs="Arial"/>
                <w:sz w:val="20"/>
              </w:rPr>
            </w:pPr>
            <w:r w:rsidRPr="007E1002">
              <w:rPr>
                <w:rFonts w:ascii="Arial" w:hAnsi="Arial" w:cs="Arial"/>
                <w:sz w:val="20"/>
              </w:rPr>
              <w:t>Парични средства</w:t>
            </w:r>
          </w:p>
        </w:tc>
        <w:tc>
          <w:tcPr>
            <w:tcW w:w="141" w:type="dxa"/>
          </w:tcPr>
          <w:p w14:paraId="26291DD7" w14:textId="77777777" w:rsidR="00EC17E2" w:rsidRPr="007E1002" w:rsidRDefault="00EC17E2" w:rsidP="003833F6">
            <w:pPr>
              <w:rPr>
                <w:rFonts w:ascii="Arial" w:hAnsi="Arial" w:cs="Arial"/>
                <w:sz w:val="20"/>
              </w:rPr>
            </w:pPr>
          </w:p>
        </w:tc>
        <w:tc>
          <w:tcPr>
            <w:tcW w:w="1560" w:type="dxa"/>
          </w:tcPr>
          <w:p w14:paraId="126A8A8A" w14:textId="21B38C5F" w:rsidR="00EC17E2" w:rsidRPr="007E1002" w:rsidRDefault="00D6778B" w:rsidP="00F5727D">
            <w:pPr>
              <w:ind w:right="162"/>
              <w:jc w:val="right"/>
              <w:rPr>
                <w:rFonts w:ascii="Arial" w:hAnsi="Arial" w:cs="Arial"/>
                <w:sz w:val="20"/>
              </w:rPr>
            </w:pPr>
            <w:r w:rsidRPr="007E1002">
              <w:rPr>
                <w:rFonts w:ascii="Arial" w:hAnsi="Arial" w:cs="Arial"/>
                <w:sz w:val="20"/>
              </w:rPr>
              <w:t>-</w:t>
            </w:r>
          </w:p>
        </w:tc>
        <w:tc>
          <w:tcPr>
            <w:tcW w:w="141" w:type="dxa"/>
          </w:tcPr>
          <w:p w14:paraId="1C5183E9" w14:textId="77777777" w:rsidR="00EC17E2" w:rsidRPr="007E1002" w:rsidRDefault="00EC17E2" w:rsidP="003833F6">
            <w:pPr>
              <w:rPr>
                <w:rFonts w:ascii="Arial" w:hAnsi="Arial" w:cs="Arial"/>
                <w:sz w:val="20"/>
              </w:rPr>
            </w:pPr>
          </w:p>
        </w:tc>
        <w:tc>
          <w:tcPr>
            <w:tcW w:w="1417" w:type="dxa"/>
          </w:tcPr>
          <w:p w14:paraId="7E3E48D3" w14:textId="71727ECB" w:rsidR="00EC17E2" w:rsidRPr="007E1002" w:rsidRDefault="007E1002" w:rsidP="003833F6">
            <w:pPr>
              <w:ind w:right="162"/>
              <w:jc w:val="right"/>
              <w:rPr>
                <w:rFonts w:ascii="Arial" w:hAnsi="Arial" w:cs="Arial"/>
                <w:sz w:val="20"/>
              </w:rPr>
            </w:pPr>
            <w:r w:rsidRPr="007E1002">
              <w:rPr>
                <w:rFonts w:ascii="Arial" w:hAnsi="Arial" w:cs="Arial"/>
                <w:sz w:val="20"/>
              </w:rPr>
              <w:t>-</w:t>
            </w:r>
          </w:p>
        </w:tc>
      </w:tr>
      <w:tr w:rsidR="00EC17E2" w:rsidRPr="007E1002" w14:paraId="537003A1" w14:textId="77777777" w:rsidTr="003833F6">
        <w:trPr>
          <w:cantSplit/>
          <w:trHeight w:hRule="exact" w:val="505"/>
        </w:trPr>
        <w:tc>
          <w:tcPr>
            <w:tcW w:w="5529" w:type="dxa"/>
          </w:tcPr>
          <w:p w14:paraId="695BEE88" w14:textId="77777777" w:rsidR="00EC17E2" w:rsidRPr="007E1002" w:rsidRDefault="00EC17E2" w:rsidP="003833F6">
            <w:pPr>
              <w:rPr>
                <w:rFonts w:ascii="Arial" w:hAnsi="Arial" w:cs="Arial"/>
                <w:sz w:val="20"/>
              </w:rPr>
            </w:pPr>
            <w:r w:rsidRPr="007E1002">
              <w:rPr>
                <w:rFonts w:ascii="Arial" w:hAnsi="Arial" w:cs="Arial"/>
                <w:sz w:val="20"/>
              </w:rPr>
              <w:t>Текущи финансови активи, нетно</w:t>
            </w:r>
          </w:p>
        </w:tc>
        <w:tc>
          <w:tcPr>
            <w:tcW w:w="141" w:type="dxa"/>
          </w:tcPr>
          <w:p w14:paraId="06DAC268" w14:textId="77777777" w:rsidR="00EC17E2" w:rsidRPr="007E1002" w:rsidRDefault="00EC17E2" w:rsidP="003833F6">
            <w:pPr>
              <w:rPr>
                <w:rFonts w:ascii="Arial" w:hAnsi="Arial" w:cs="Arial"/>
                <w:sz w:val="20"/>
              </w:rPr>
            </w:pPr>
          </w:p>
        </w:tc>
        <w:tc>
          <w:tcPr>
            <w:tcW w:w="1560" w:type="dxa"/>
          </w:tcPr>
          <w:p w14:paraId="1160D1F2" w14:textId="657C7E9D" w:rsidR="00EC17E2" w:rsidRPr="007E1002" w:rsidRDefault="008A09BC" w:rsidP="00F606E3">
            <w:pPr>
              <w:tabs>
                <w:tab w:val="left" w:pos="1188"/>
              </w:tabs>
              <w:ind w:right="158"/>
              <w:jc w:val="right"/>
              <w:rPr>
                <w:rFonts w:ascii="Arial" w:hAnsi="Arial" w:cs="Arial"/>
                <w:sz w:val="20"/>
              </w:rPr>
            </w:pPr>
            <w:r w:rsidRPr="007E1002">
              <w:rPr>
                <w:rFonts w:ascii="Arial" w:hAnsi="Arial" w:cs="Arial"/>
                <w:sz w:val="20"/>
              </w:rPr>
              <w:t>10</w:t>
            </w:r>
            <w:r w:rsidR="00F71F16" w:rsidRPr="007E1002">
              <w:rPr>
                <w:rFonts w:ascii="Arial" w:hAnsi="Arial" w:cs="Arial"/>
                <w:sz w:val="20"/>
              </w:rPr>
              <w:t xml:space="preserve"> </w:t>
            </w:r>
            <w:r w:rsidR="0067669F">
              <w:rPr>
                <w:rFonts w:ascii="Arial" w:hAnsi="Arial" w:cs="Arial"/>
                <w:sz w:val="20"/>
              </w:rPr>
              <w:t>143</w:t>
            </w:r>
          </w:p>
        </w:tc>
        <w:tc>
          <w:tcPr>
            <w:tcW w:w="141" w:type="dxa"/>
          </w:tcPr>
          <w:p w14:paraId="4A62F34D" w14:textId="77777777" w:rsidR="00EC17E2" w:rsidRPr="007E1002" w:rsidRDefault="00EC17E2" w:rsidP="003833F6">
            <w:pPr>
              <w:rPr>
                <w:rFonts w:ascii="Arial" w:hAnsi="Arial" w:cs="Arial"/>
                <w:sz w:val="20"/>
              </w:rPr>
            </w:pPr>
          </w:p>
        </w:tc>
        <w:tc>
          <w:tcPr>
            <w:tcW w:w="1417" w:type="dxa"/>
          </w:tcPr>
          <w:p w14:paraId="511CA843" w14:textId="3F5F0C55" w:rsidR="00EC17E2" w:rsidRPr="007E1002" w:rsidRDefault="00271AC7" w:rsidP="00F31459">
            <w:pPr>
              <w:tabs>
                <w:tab w:val="left" w:pos="1188"/>
              </w:tabs>
              <w:ind w:right="158"/>
              <w:jc w:val="right"/>
              <w:rPr>
                <w:rFonts w:ascii="Arial" w:hAnsi="Arial" w:cs="Arial"/>
                <w:sz w:val="20"/>
              </w:rPr>
            </w:pPr>
            <w:r w:rsidRPr="007E1002">
              <w:rPr>
                <w:rFonts w:ascii="Arial" w:hAnsi="Arial" w:cs="Arial"/>
                <w:sz w:val="20"/>
              </w:rPr>
              <w:t>10</w:t>
            </w:r>
            <w:r w:rsidR="00F71F16" w:rsidRPr="007E1002">
              <w:rPr>
                <w:rFonts w:ascii="Arial" w:hAnsi="Arial" w:cs="Arial"/>
                <w:sz w:val="20"/>
              </w:rPr>
              <w:t xml:space="preserve"> </w:t>
            </w:r>
            <w:r w:rsidR="007E1002" w:rsidRPr="007E1002">
              <w:rPr>
                <w:rFonts w:ascii="Arial" w:hAnsi="Arial" w:cs="Arial"/>
                <w:sz w:val="20"/>
              </w:rPr>
              <w:t>066</w:t>
            </w:r>
          </w:p>
        </w:tc>
      </w:tr>
      <w:tr w:rsidR="00EC17E2" w:rsidRPr="007E1002" w14:paraId="19EB6916" w14:textId="77777777" w:rsidTr="00CB4637">
        <w:trPr>
          <w:cantSplit/>
          <w:trHeight w:hRule="exact" w:val="414"/>
        </w:trPr>
        <w:tc>
          <w:tcPr>
            <w:tcW w:w="5529" w:type="dxa"/>
          </w:tcPr>
          <w:p w14:paraId="0B4829E8" w14:textId="77777777" w:rsidR="00EC17E2" w:rsidRPr="007E1002" w:rsidRDefault="00EC17E2" w:rsidP="003833F6">
            <w:pPr>
              <w:rPr>
                <w:rFonts w:ascii="Arial" w:hAnsi="Arial" w:cs="Arial"/>
                <w:sz w:val="20"/>
              </w:rPr>
            </w:pPr>
          </w:p>
        </w:tc>
        <w:tc>
          <w:tcPr>
            <w:tcW w:w="141" w:type="dxa"/>
          </w:tcPr>
          <w:p w14:paraId="6A7C6AC4" w14:textId="77777777" w:rsidR="00EC17E2" w:rsidRPr="007E1002" w:rsidRDefault="00EC17E2" w:rsidP="003833F6">
            <w:pPr>
              <w:rPr>
                <w:rFonts w:ascii="Arial" w:hAnsi="Arial" w:cs="Arial"/>
                <w:sz w:val="20"/>
              </w:rPr>
            </w:pPr>
          </w:p>
        </w:tc>
        <w:tc>
          <w:tcPr>
            <w:tcW w:w="1560" w:type="dxa"/>
            <w:tcBorders>
              <w:top w:val="single" w:sz="6" w:space="0" w:color="auto"/>
            </w:tcBorders>
          </w:tcPr>
          <w:p w14:paraId="4218D7F7" w14:textId="77777777" w:rsidR="00EC17E2" w:rsidRPr="007E1002" w:rsidRDefault="00EC17E2" w:rsidP="003833F6">
            <w:pPr>
              <w:ind w:right="162"/>
              <w:jc w:val="right"/>
              <w:rPr>
                <w:rFonts w:ascii="Arial" w:hAnsi="Arial" w:cs="Arial"/>
                <w:sz w:val="20"/>
              </w:rPr>
            </w:pPr>
          </w:p>
        </w:tc>
        <w:tc>
          <w:tcPr>
            <w:tcW w:w="141" w:type="dxa"/>
          </w:tcPr>
          <w:p w14:paraId="4E21F4BF" w14:textId="77777777" w:rsidR="00EC17E2" w:rsidRPr="007E1002" w:rsidRDefault="00EC17E2" w:rsidP="003833F6">
            <w:pPr>
              <w:rPr>
                <w:rFonts w:ascii="Arial" w:hAnsi="Arial" w:cs="Arial"/>
                <w:sz w:val="20"/>
              </w:rPr>
            </w:pPr>
          </w:p>
        </w:tc>
        <w:tc>
          <w:tcPr>
            <w:tcW w:w="1417" w:type="dxa"/>
            <w:tcBorders>
              <w:top w:val="single" w:sz="6" w:space="0" w:color="auto"/>
            </w:tcBorders>
          </w:tcPr>
          <w:p w14:paraId="07B7314F" w14:textId="77777777" w:rsidR="00EC17E2" w:rsidRPr="007E1002" w:rsidRDefault="00EC17E2" w:rsidP="003833F6">
            <w:pPr>
              <w:ind w:right="162"/>
              <w:jc w:val="right"/>
              <w:rPr>
                <w:rFonts w:ascii="Arial" w:hAnsi="Arial" w:cs="Arial"/>
                <w:sz w:val="20"/>
              </w:rPr>
            </w:pPr>
          </w:p>
        </w:tc>
      </w:tr>
      <w:tr w:rsidR="00EC17E2" w:rsidRPr="007E1002" w14:paraId="7963808D" w14:textId="77777777" w:rsidTr="0076262B">
        <w:trPr>
          <w:cantSplit/>
          <w:trHeight w:hRule="exact" w:val="391"/>
        </w:trPr>
        <w:tc>
          <w:tcPr>
            <w:tcW w:w="5529" w:type="dxa"/>
          </w:tcPr>
          <w:p w14:paraId="772B2C1C" w14:textId="77777777" w:rsidR="00EC17E2" w:rsidRPr="007E1002" w:rsidRDefault="00EC17E2" w:rsidP="003833F6">
            <w:pPr>
              <w:rPr>
                <w:rFonts w:ascii="Arial" w:hAnsi="Arial" w:cs="Arial"/>
                <w:b/>
                <w:sz w:val="20"/>
              </w:rPr>
            </w:pPr>
            <w:r w:rsidRPr="007E1002">
              <w:rPr>
                <w:rFonts w:ascii="Arial" w:hAnsi="Arial" w:cs="Arial"/>
                <w:b/>
                <w:sz w:val="20"/>
              </w:rPr>
              <w:t>Общо</w:t>
            </w:r>
          </w:p>
        </w:tc>
        <w:tc>
          <w:tcPr>
            <w:tcW w:w="141" w:type="dxa"/>
          </w:tcPr>
          <w:p w14:paraId="4E481413" w14:textId="77777777" w:rsidR="00EC17E2" w:rsidRPr="007E1002" w:rsidRDefault="00EC17E2" w:rsidP="003833F6">
            <w:pPr>
              <w:rPr>
                <w:rFonts w:ascii="Arial" w:hAnsi="Arial" w:cs="Arial"/>
                <w:b/>
                <w:sz w:val="20"/>
              </w:rPr>
            </w:pPr>
          </w:p>
        </w:tc>
        <w:tc>
          <w:tcPr>
            <w:tcW w:w="1560" w:type="dxa"/>
            <w:tcBorders>
              <w:bottom w:val="double" w:sz="6" w:space="0" w:color="auto"/>
            </w:tcBorders>
          </w:tcPr>
          <w:p w14:paraId="3E36F7F1" w14:textId="2736DC12" w:rsidR="00EC17E2" w:rsidRPr="007E1002" w:rsidRDefault="006E557D" w:rsidP="00F5727D">
            <w:pPr>
              <w:ind w:right="162"/>
              <w:jc w:val="right"/>
              <w:rPr>
                <w:rFonts w:ascii="Arial" w:hAnsi="Arial" w:cs="Arial"/>
                <w:b/>
                <w:sz w:val="20"/>
              </w:rPr>
            </w:pPr>
            <w:r w:rsidRPr="007E1002">
              <w:rPr>
                <w:rFonts w:ascii="Arial" w:hAnsi="Arial" w:cs="Arial"/>
                <w:b/>
                <w:sz w:val="20"/>
              </w:rPr>
              <w:t>10</w:t>
            </w:r>
            <w:r w:rsidR="00D6778B" w:rsidRPr="007E1002">
              <w:rPr>
                <w:rFonts w:ascii="Arial" w:hAnsi="Arial" w:cs="Arial"/>
                <w:b/>
                <w:sz w:val="20"/>
              </w:rPr>
              <w:t> </w:t>
            </w:r>
            <w:r w:rsidR="0067669F">
              <w:rPr>
                <w:rFonts w:ascii="Arial" w:hAnsi="Arial" w:cs="Arial"/>
                <w:b/>
                <w:sz w:val="20"/>
              </w:rPr>
              <w:t>143</w:t>
            </w:r>
          </w:p>
        </w:tc>
        <w:tc>
          <w:tcPr>
            <w:tcW w:w="141" w:type="dxa"/>
          </w:tcPr>
          <w:p w14:paraId="5DD2A6A0" w14:textId="77777777" w:rsidR="00EC17E2" w:rsidRPr="007E1002" w:rsidRDefault="00EC17E2" w:rsidP="003833F6">
            <w:pPr>
              <w:rPr>
                <w:rFonts w:ascii="Arial" w:hAnsi="Arial" w:cs="Arial"/>
                <w:b/>
                <w:sz w:val="20"/>
              </w:rPr>
            </w:pPr>
          </w:p>
        </w:tc>
        <w:tc>
          <w:tcPr>
            <w:tcW w:w="1417" w:type="dxa"/>
            <w:tcBorders>
              <w:bottom w:val="double" w:sz="6" w:space="0" w:color="auto"/>
            </w:tcBorders>
          </w:tcPr>
          <w:p w14:paraId="754F2C4D" w14:textId="7593107F" w:rsidR="00EC17E2" w:rsidRPr="007E1002" w:rsidRDefault="00271AC7" w:rsidP="00F31459">
            <w:pPr>
              <w:ind w:right="162"/>
              <w:jc w:val="right"/>
              <w:rPr>
                <w:rFonts w:ascii="Arial" w:hAnsi="Arial" w:cs="Arial"/>
                <w:b/>
                <w:sz w:val="20"/>
              </w:rPr>
            </w:pPr>
            <w:r w:rsidRPr="007E1002">
              <w:rPr>
                <w:rFonts w:ascii="Arial" w:hAnsi="Arial" w:cs="Arial"/>
                <w:b/>
                <w:sz w:val="20"/>
              </w:rPr>
              <w:t>10</w:t>
            </w:r>
            <w:r w:rsidR="00F71F16" w:rsidRPr="007E1002">
              <w:rPr>
                <w:rFonts w:ascii="Arial" w:hAnsi="Arial" w:cs="Arial"/>
                <w:b/>
                <w:sz w:val="20"/>
              </w:rPr>
              <w:t xml:space="preserve"> </w:t>
            </w:r>
            <w:r w:rsidR="007E1002" w:rsidRPr="007E1002">
              <w:rPr>
                <w:rFonts w:ascii="Arial" w:hAnsi="Arial" w:cs="Arial"/>
                <w:b/>
                <w:sz w:val="20"/>
              </w:rPr>
              <w:t>066</w:t>
            </w:r>
          </w:p>
        </w:tc>
      </w:tr>
    </w:tbl>
    <w:p w14:paraId="7947A7B7" w14:textId="77777777" w:rsidR="00EC17E2" w:rsidRPr="00B14C47" w:rsidRDefault="00EC17E2" w:rsidP="00EC17E2">
      <w:pPr>
        <w:pStyle w:val="Heading3"/>
        <w:rPr>
          <w:rFonts w:ascii="Arial" w:hAnsi="Arial" w:cs="Arial"/>
        </w:rPr>
      </w:pPr>
      <w:bookmarkStart w:id="201" w:name="_Toc473125075"/>
      <w:bookmarkStart w:id="202" w:name="_Toc4683435"/>
      <w:bookmarkStart w:id="203" w:name="_Toc4685329"/>
      <w:bookmarkStart w:id="204" w:name="_Toc4692223"/>
      <w:bookmarkStart w:id="205" w:name="_Toc67568195"/>
      <w:bookmarkStart w:id="206" w:name="_Toc96871919"/>
      <w:bookmarkStart w:id="207" w:name="_Toc129350910"/>
      <w:bookmarkStart w:id="208" w:name="_Toc160806753"/>
      <w:bookmarkStart w:id="209" w:name="_Toc164268390"/>
      <w:r w:rsidRPr="007E1002">
        <w:rPr>
          <w:rFonts w:ascii="Arial" w:hAnsi="Arial" w:cs="Arial"/>
          <w:lang w:val="bg-BG"/>
        </w:rPr>
        <w:t>Л</w:t>
      </w:r>
      <w:r w:rsidRPr="007E1002">
        <w:rPr>
          <w:rFonts w:ascii="Arial" w:hAnsi="Arial" w:cs="Arial"/>
        </w:rPr>
        <w:t>иквиден риск</w:t>
      </w:r>
      <w:bookmarkEnd w:id="201"/>
      <w:bookmarkEnd w:id="202"/>
      <w:bookmarkEnd w:id="203"/>
      <w:bookmarkEnd w:id="204"/>
      <w:bookmarkEnd w:id="205"/>
      <w:bookmarkEnd w:id="206"/>
      <w:bookmarkEnd w:id="207"/>
      <w:bookmarkEnd w:id="208"/>
      <w:bookmarkEnd w:id="209"/>
    </w:p>
    <w:p w14:paraId="4CFA197B" w14:textId="77777777" w:rsidR="00F71F16" w:rsidRPr="00B14C47" w:rsidRDefault="00AA279B" w:rsidP="00F71F16">
      <w:pPr>
        <w:rPr>
          <w:rFonts w:ascii="Arial" w:hAnsi="Arial" w:cs="Arial"/>
          <w:sz w:val="20"/>
        </w:rPr>
      </w:pPr>
      <w:r w:rsidRPr="00B14C47">
        <w:rPr>
          <w:rFonts w:ascii="Arial" w:hAnsi="Arial" w:cs="Arial"/>
          <w:sz w:val="20"/>
        </w:rPr>
        <w:t>Л</w:t>
      </w:r>
      <w:r w:rsidR="00F71F16" w:rsidRPr="00B14C47">
        <w:rPr>
          <w:rFonts w:ascii="Arial" w:hAnsi="Arial" w:cs="Arial"/>
          <w:sz w:val="20"/>
        </w:rPr>
        <w:t>иквидният риск произтича от възможността Дружеството да не осигури достатъчно външно финансиране, както и контрагентите да не изпълнят своите финансови задължения на договорените падежи. С цел минимизиране на този риск, периодично се извършва преглед и оценка на събираемостта на търговските и други краткосрочни вземания като за тези, които са трудносъбираеми и несъбираеми се заделят резерви, както е посочено по-горе.</w:t>
      </w:r>
    </w:p>
    <w:p w14:paraId="47299488" w14:textId="60E52DA3" w:rsidR="00747D38" w:rsidRDefault="00F71F16" w:rsidP="007E1002">
      <w:pPr>
        <w:rPr>
          <w:rFonts w:ascii="Arial" w:hAnsi="Arial" w:cs="Arial"/>
        </w:rPr>
      </w:pPr>
      <w:r w:rsidRPr="00B14C47">
        <w:rPr>
          <w:rFonts w:ascii="Arial" w:hAnsi="Arial" w:cs="Arial"/>
          <w:sz w:val="20"/>
        </w:rPr>
        <w:t>Дружеството очаква, че ще се генерират задоволителни парични постъпления, за да</w:t>
      </w:r>
      <w:r w:rsidRPr="00B14C47">
        <w:rPr>
          <w:rStyle w:val="FontStyle78"/>
          <w:sz w:val="20"/>
          <w:szCs w:val="20"/>
        </w:rPr>
        <w:t xml:space="preserve"> </w:t>
      </w:r>
      <w:r w:rsidRPr="00B14C47">
        <w:rPr>
          <w:rFonts w:ascii="Arial" w:hAnsi="Arial" w:cs="Arial"/>
          <w:sz w:val="20"/>
        </w:rPr>
        <w:t>се изпълнят паричните ангажи</w:t>
      </w:r>
      <w:r w:rsidR="0067669F">
        <w:rPr>
          <w:rFonts w:ascii="Arial" w:hAnsi="Arial" w:cs="Arial"/>
          <w:sz w:val="20"/>
        </w:rPr>
        <w:t>менти, които има към 30 юни</w:t>
      </w:r>
      <w:r w:rsidRPr="00B14C47">
        <w:rPr>
          <w:rFonts w:ascii="Arial" w:hAnsi="Arial" w:cs="Arial"/>
          <w:sz w:val="20"/>
          <w:lang w:val="en-US"/>
        </w:rPr>
        <w:t xml:space="preserve"> </w:t>
      </w:r>
      <w:r w:rsidRPr="00B14C47">
        <w:rPr>
          <w:rFonts w:ascii="Arial" w:hAnsi="Arial" w:cs="Arial"/>
          <w:sz w:val="20"/>
        </w:rPr>
        <w:t xml:space="preserve"> </w:t>
      </w:r>
      <w:r w:rsidR="007E1002">
        <w:rPr>
          <w:rFonts w:ascii="Arial" w:hAnsi="Arial" w:cs="Arial"/>
          <w:sz w:val="20"/>
        </w:rPr>
        <w:t>2024</w:t>
      </w:r>
      <w:r w:rsidR="00B0760F" w:rsidRPr="00B14C47">
        <w:rPr>
          <w:rFonts w:ascii="Arial" w:hAnsi="Arial" w:cs="Arial"/>
          <w:sz w:val="20"/>
        </w:rPr>
        <w:t>г</w:t>
      </w:r>
      <w:r w:rsidRPr="00B14C47">
        <w:rPr>
          <w:rFonts w:ascii="Arial" w:hAnsi="Arial" w:cs="Arial"/>
          <w:sz w:val="20"/>
        </w:rPr>
        <w:t xml:space="preserve">. </w:t>
      </w:r>
      <w:bookmarkStart w:id="210" w:name="_Toc247959212"/>
      <w:bookmarkStart w:id="211" w:name="_Toc4683436"/>
      <w:bookmarkStart w:id="212" w:name="_Toc4685330"/>
      <w:bookmarkStart w:id="213" w:name="_Toc4692224"/>
      <w:bookmarkStart w:id="214" w:name="_Toc67568196"/>
      <w:bookmarkStart w:id="215" w:name="_Toc96871920"/>
      <w:bookmarkStart w:id="216" w:name="_Toc129350911"/>
      <w:bookmarkStart w:id="217" w:name="_Toc160806754"/>
    </w:p>
    <w:p w14:paraId="656BE7AF" w14:textId="11FC6073" w:rsidR="00747D38" w:rsidRDefault="00747D38" w:rsidP="00B66DF8">
      <w:pPr>
        <w:pStyle w:val="Heading3"/>
        <w:spacing w:before="0"/>
        <w:rPr>
          <w:rFonts w:ascii="Arial" w:hAnsi="Arial" w:cs="Arial"/>
          <w:lang w:val="bg-BG"/>
        </w:rPr>
      </w:pPr>
    </w:p>
    <w:p w14:paraId="1A0CC597" w14:textId="77777777" w:rsidR="00747D38" w:rsidRPr="00747D38" w:rsidRDefault="00747D38" w:rsidP="00747D38"/>
    <w:p w14:paraId="7C828CAA" w14:textId="77A40514" w:rsidR="00B66DF8" w:rsidRPr="00B14C47" w:rsidRDefault="00B66DF8" w:rsidP="00B66DF8">
      <w:pPr>
        <w:pStyle w:val="Heading3"/>
        <w:spacing w:before="0"/>
        <w:rPr>
          <w:rFonts w:ascii="Arial" w:hAnsi="Arial" w:cs="Arial"/>
          <w:lang w:val="bg-BG"/>
        </w:rPr>
      </w:pPr>
      <w:bookmarkStart w:id="218" w:name="_Toc164268391"/>
      <w:r w:rsidRPr="00B14C47">
        <w:rPr>
          <w:rFonts w:ascii="Arial" w:hAnsi="Arial" w:cs="Arial"/>
          <w:lang w:val="bg-BG"/>
        </w:rPr>
        <w:t>Лихвен риск</w:t>
      </w:r>
      <w:bookmarkEnd w:id="210"/>
      <w:bookmarkEnd w:id="211"/>
      <w:bookmarkEnd w:id="212"/>
      <w:bookmarkEnd w:id="213"/>
      <w:bookmarkEnd w:id="214"/>
      <w:bookmarkEnd w:id="215"/>
      <w:bookmarkEnd w:id="216"/>
      <w:bookmarkEnd w:id="217"/>
      <w:bookmarkEnd w:id="218"/>
    </w:p>
    <w:p w14:paraId="375B47CD" w14:textId="77777777" w:rsidR="00B66DF8" w:rsidRPr="00B14C47" w:rsidRDefault="00B66DF8" w:rsidP="00B66DF8">
      <w:pPr>
        <w:rPr>
          <w:rFonts w:ascii="Arial" w:hAnsi="Arial" w:cs="Arial"/>
          <w:color w:val="000000"/>
          <w:sz w:val="20"/>
        </w:rPr>
      </w:pPr>
      <w:r w:rsidRPr="00B14C47">
        <w:rPr>
          <w:rFonts w:ascii="Arial" w:hAnsi="Arial" w:cs="Arial"/>
          <w:sz w:val="20"/>
        </w:rPr>
        <w:t>Лихвеният риск произтича от колебанията в цената на финансов инструмент в зависимост от промените в лихвените нива.</w:t>
      </w:r>
      <w:r w:rsidR="00905656" w:rsidRPr="00B14C47">
        <w:rPr>
          <w:rFonts w:ascii="Arial" w:hAnsi="Arial" w:cs="Arial"/>
          <w:color w:val="000000"/>
          <w:sz w:val="20"/>
        </w:rPr>
        <w:t xml:space="preserve"> Дружеството </w:t>
      </w:r>
      <w:r w:rsidR="00905656" w:rsidRPr="00B14C47">
        <w:rPr>
          <w:rFonts w:ascii="Arial" w:hAnsi="Arial" w:cs="Arial"/>
          <w:sz w:val="20"/>
        </w:rPr>
        <w:t>не</w:t>
      </w:r>
      <w:r w:rsidR="00905656" w:rsidRPr="00B14C47">
        <w:rPr>
          <w:rFonts w:ascii="Arial" w:hAnsi="Arial" w:cs="Arial"/>
          <w:color w:val="000000"/>
          <w:sz w:val="20"/>
        </w:rPr>
        <w:t xml:space="preserve"> използва хеджиращи инструменти.</w:t>
      </w:r>
    </w:p>
    <w:p w14:paraId="1EE1F799" w14:textId="3C864C35" w:rsidR="001B2901" w:rsidRPr="00B14C47" w:rsidRDefault="001B2901" w:rsidP="00B66DF8">
      <w:pPr>
        <w:rPr>
          <w:rFonts w:ascii="Arial" w:hAnsi="Arial" w:cs="Arial"/>
          <w:color w:val="000000"/>
          <w:sz w:val="20"/>
        </w:rPr>
      </w:pPr>
    </w:p>
    <w:p w14:paraId="3BFAF834" w14:textId="77777777" w:rsidR="00934F82" w:rsidRPr="00B14C47" w:rsidRDefault="00934F82" w:rsidP="00B66DF8">
      <w:pPr>
        <w:rPr>
          <w:rFonts w:ascii="Arial" w:hAnsi="Arial" w:cs="Arial"/>
          <w:color w:val="000000"/>
          <w:sz w:val="20"/>
        </w:rPr>
      </w:pPr>
    </w:p>
    <w:p w14:paraId="6AC08821" w14:textId="77777777" w:rsidR="006E557D" w:rsidRPr="00B14C47" w:rsidRDefault="006E557D" w:rsidP="006E557D">
      <w:pPr>
        <w:pStyle w:val="Heading3"/>
        <w:spacing w:before="0"/>
        <w:rPr>
          <w:rFonts w:ascii="Arial" w:hAnsi="Arial" w:cs="Arial"/>
          <w:lang w:val="bg-BG"/>
        </w:rPr>
      </w:pPr>
      <w:bookmarkStart w:id="219" w:name="_Toc4683437"/>
      <w:bookmarkStart w:id="220" w:name="_Toc4685331"/>
      <w:bookmarkStart w:id="221" w:name="_Toc4692225"/>
      <w:bookmarkStart w:id="222" w:name="_Toc67568197"/>
      <w:bookmarkStart w:id="223" w:name="_Toc96871921"/>
      <w:bookmarkStart w:id="224" w:name="_Toc129350912"/>
      <w:bookmarkStart w:id="225" w:name="_Toc160806755"/>
      <w:bookmarkStart w:id="226" w:name="_Toc164268392"/>
      <w:r w:rsidRPr="00B14C47">
        <w:rPr>
          <w:rFonts w:ascii="Arial" w:hAnsi="Arial" w:cs="Arial"/>
          <w:lang w:val="bg-BG"/>
        </w:rPr>
        <w:t>Валутен риск</w:t>
      </w:r>
      <w:bookmarkEnd w:id="219"/>
      <w:bookmarkEnd w:id="220"/>
      <w:bookmarkEnd w:id="221"/>
      <w:bookmarkEnd w:id="222"/>
      <w:bookmarkEnd w:id="223"/>
      <w:bookmarkEnd w:id="224"/>
      <w:bookmarkEnd w:id="225"/>
      <w:bookmarkEnd w:id="226"/>
    </w:p>
    <w:p w14:paraId="77335086" w14:textId="5099B905" w:rsidR="00E64D2A" w:rsidRPr="0067669F" w:rsidRDefault="00E64D2A" w:rsidP="0076262B">
      <w:pPr>
        <w:spacing w:line="276" w:lineRule="auto"/>
        <w:rPr>
          <w:rFonts w:ascii="Arial" w:hAnsi="Arial" w:cs="Arial"/>
          <w:sz w:val="20"/>
        </w:rPr>
      </w:pPr>
      <w:r w:rsidRPr="00B14C47">
        <w:rPr>
          <w:rFonts w:ascii="Arial" w:hAnsi="Arial" w:cs="Arial"/>
          <w:sz w:val="20"/>
        </w:rPr>
        <w:t xml:space="preserve">Валутни рискове има при сделки от продажби или покупки в чуждестранна валута, налични финансови активи и пасиви в чуждестранна валута. Валутният риск произтича от колебанията в цената на финансов инструмент в зависимост от промените във валутните курсове. През </w:t>
      </w:r>
      <w:r w:rsidR="00F71F16" w:rsidRPr="00B14C47">
        <w:rPr>
          <w:rFonts w:ascii="Arial" w:hAnsi="Arial" w:cs="Arial"/>
          <w:sz w:val="20"/>
        </w:rPr>
        <w:t>20</w:t>
      </w:r>
      <w:r w:rsidR="008A7646">
        <w:rPr>
          <w:rFonts w:ascii="Arial" w:hAnsi="Arial" w:cs="Arial"/>
          <w:sz w:val="20"/>
        </w:rPr>
        <w:t>2</w:t>
      </w:r>
      <w:r w:rsidR="007E1002">
        <w:rPr>
          <w:rFonts w:ascii="Arial" w:hAnsi="Arial" w:cs="Arial"/>
          <w:sz w:val="20"/>
        </w:rPr>
        <w:t>4</w:t>
      </w:r>
      <w:r w:rsidR="00F71F16" w:rsidRPr="00B14C47">
        <w:rPr>
          <w:rFonts w:ascii="Arial" w:hAnsi="Arial" w:cs="Arial"/>
          <w:sz w:val="20"/>
        </w:rPr>
        <w:t>г</w:t>
      </w:r>
      <w:r w:rsidRPr="00B14C47">
        <w:rPr>
          <w:rFonts w:ascii="Arial" w:hAnsi="Arial" w:cs="Arial"/>
          <w:sz w:val="20"/>
        </w:rPr>
        <w:t>. Дружеството няма сделки в чуждестранна валута</w:t>
      </w:r>
      <w:r w:rsidR="00F71F16" w:rsidRPr="00B14C47">
        <w:rPr>
          <w:rFonts w:ascii="Arial" w:hAnsi="Arial" w:cs="Arial"/>
          <w:sz w:val="20"/>
        </w:rPr>
        <w:t>.</w:t>
      </w:r>
      <w:r w:rsidR="00F5727D" w:rsidRPr="00B14C47">
        <w:rPr>
          <w:rFonts w:ascii="Arial" w:hAnsi="Arial" w:cs="Arial"/>
          <w:sz w:val="20"/>
        </w:rPr>
        <w:t xml:space="preserve"> </w:t>
      </w:r>
      <w:r w:rsidR="0067669F">
        <w:rPr>
          <w:rFonts w:ascii="Arial" w:hAnsi="Arial" w:cs="Arial"/>
          <w:sz w:val="20"/>
        </w:rPr>
        <w:t>Към 30 юни</w:t>
      </w:r>
      <w:r w:rsidR="00F71F16" w:rsidRPr="00B14C47">
        <w:rPr>
          <w:rFonts w:ascii="Arial" w:hAnsi="Arial" w:cs="Arial"/>
          <w:sz w:val="20"/>
        </w:rPr>
        <w:t xml:space="preserve"> 20</w:t>
      </w:r>
      <w:r w:rsidR="003B1310" w:rsidRPr="00B14C47">
        <w:rPr>
          <w:rFonts w:ascii="Arial" w:hAnsi="Arial" w:cs="Arial"/>
          <w:sz w:val="20"/>
        </w:rPr>
        <w:t>2</w:t>
      </w:r>
      <w:r w:rsidR="007E1002">
        <w:rPr>
          <w:rFonts w:ascii="Arial" w:hAnsi="Arial" w:cs="Arial"/>
          <w:sz w:val="20"/>
        </w:rPr>
        <w:t>4</w:t>
      </w:r>
      <w:r w:rsidR="00F71F16" w:rsidRPr="00B14C47">
        <w:rPr>
          <w:rFonts w:ascii="Arial" w:hAnsi="Arial" w:cs="Arial"/>
          <w:sz w:val="20"/>
        </w:rPr>
        <w:t>г</w:t>
      </w:r>
      <w:r w:rsidRPr="00B14C47">
        <w:rPr>
          <w:rFonts w:ascii="Arial" w:hAnsi="Arial" w:cs="Arial"/>
          <w:sz w:val="20"/>
        </w:rPr>
        <w:t xml:space="preserve">. Дружеството не отчита финансови активи във валута различна от </w:t>
      </w:r>
      <w:r w:rsidRPr="00B14C47">
        <w:rPr>
          <w:rFonts w:ascii="Arial" w:hAnsi="Arial" w:cs="Arial"/>
          <w:sz w:val="20"/>
          <w:lang w:val="en-US"/>
        </w:rPr>
        <w:t xml:space="preserve">BGN </w:t>
      </w:r>
      <w:r w:rsidRPr="00B14C47">
        <w:rPr>
          <w:rFonts w:ascii="Arial" w:hAnsi="Arial" w:cs="Arial"/>
          <w:sz w:val="20"/>
        </w:rPr>
        <w:t>и</w:t>
      </w:r>
      <w:r w:rsidRPr="00B14C47">
        <w:rPr>
          <w:rFonts w:ascii="Arial" w:hAnsi="Arial" w:cs="Arial"/>
          <w:sz w:val="20"/>
          <w:lang w:val="en-US"/>
        </w:rPr>
        <w:t xml:space="preserve"> Euro</w:t>
      </w:r>
      <w:r w:rsidRPr="00B14C47">
        <w:rPr>
          <w:rFonts w:ascii="Arial" w:hAnsi="Arial" w:cs="Arial"/>
          <w:sz w:val="20"/>
        </w:rPr>
        <w:t>, поради което не е изложено на валутен риск.</w:t>
      </w:r>
    </w:p>
    <w:p w14:paraId="06A50C29" w14:textId="77777777" w:rsidR="00E64D2A" w:rsidRPr="00B14C47" w:rsidRDefault="00E64D2A" w:rsidP="0076262B">
      <w:pPr>
        <w:pStyle w:val="Heading3"/>
        <w:spacing w:line="276" w:lineRule="auto"/>
        <w:rPr>
          <w:rFonts w:ascii="Arial" w:hAnsi="Arial" w:cs="Arial"/>
        </w:rPr>
      </w:pPr>
      <w:bookmarkStart w:id="227" w:name="_Toc473125078"/>
      <w:bookmarkStart w:id="228" w:name="_Toc4683438"/>
      <w:bookmarkStart w:id="229" w:name="_Toc4685332"/>
      <w:bookmarkStart w:id="230" w:name="_Toc4692226"/>
      <w:bookmarkStart w:id="231" w:name="_Toc67568198"/>
      <w:bookmarkStart w:id="232" w:name="_Toc96871922"/>
      <w:bookmarkStart w:id="233" w:name="_Toc129350913"/>
      <w:bookmarkStart w:id="234" w:name="_Toc160806756"/>
      <w:bookmarkStart w:id="235" w:name="_Toc164268393"/>
      <w:r w:rsidRPr="00B14C47">
        <w:rPr>
          <w:rFonts w:ascii="Arial" w:hAnsi="Arial" w:cs="Arial"/>
        </w:rPr>
        <w:t>Пазарен риск</w:t>
      </w:r>
      <w:bookmarkEnd w:id="227"/>
      <w:bookmarkEnd w:id="228"/>
      <w:bookmarkEnd w:id="229"/>
      <w:bookmarkEnd w:id="230"/>
      <w:bookmarkEnd w:id="231"/>
      <w:bookmarkEnd w:id="232"/>
      <w:bookmarkEnd w:id="233"/>
      <w:bookmarkEnd w:id="234"/>
      <w:bookmarkEnd w:id="235"/>
    </w:p>
    <w:p w14:paraId="04D02E88" w14:textId="77777777" w:rsidR="00E64D2A" w:rsidRPr="00B14C47" w:rsidRDefault="00E64D2A" w:rsidP="0076262B">
      <w:pPr>
        <w:autoSpaceDE w:val="0"/>
        <w:autoSpaceDN w:val="0"/>
        <w:adjustRightInd w:val="0"/>
        <w:spacing w:line="276" w:lineRule="auto"/>
        <w:rPr>
          <w:rFonts w:ascii="Arial" w:eastAsia="Calibri" w:hAnsi="Arial" w:cs="Arial"/>
          <w:color w:val="000000"/>
          <w:sz w:val="20"/>
        </w:rPr>
      </w:pPr>
      <w:r w:rsidRPr="00B14C47">
        <w:rPr>
          <w:rFonts w:ascii="Arial" w:eastAsia="Calibri" w:hAnsi="Arial" w:cs="Arial"/>
          <w:color w:val="000000"/>
          <w:sz w:val="20"/>
        </w:rPr>
        <w:t>Пазарен риск е рискът, че справедливата стойност на бъдещите парични потоци от даден инструмент ще варира поради промените в пазарните цени. Пазарните цени включват четири типа риск: лихвен, валутен, стоков и друг ценови риск, какъвто е и рискът за цената на собствения капитал. Финансовите инструменти, които биват засегнати от пазарния риск, включват заеми и привлечени средства, депозити, инструменти на разположение за продажба и деривативни финансови инструменти.</w:t>
      </w:r>
    </w:p>
    <w:p w14:paraId="4195BC45" w14:textId="1E591A23" w:rsidR="00E64D2A" w:rsidRPr="00B14C47" w:rsidRDefault="00E64D2A" w:rsidP="0076262B">
      <w:pPr>
        <w:autoSpaceDE w:val="0"/>
        <w:autoSpaceDN w:val="0"/>
        <w:adjustRightInd w:val="0"/>
        <w:spacing w:line="276" w:lineRule="auto"/>
        <w:rPr>
          <w:rFonts w:ascii="Arial" w:eastAsia="Calibri" w:hAnsi="Arial" w:cs="Arial"/>
          <w:sz w:val="20"/>
        </w:rPr>
      </w:pPr>
      <w:r w:rsidRPr="00B14C47">
        <w:rPr>
          <w:rFonts w:ascii="Arial" w:eastAsia="Calibri" w:hAnsi="Arial" w:cs="Arial"/>
          <w:sz w:val="20"/>
        </w:rPr>
        <w:t>Анализите на чувствителността са свързани със състоянието към</w:t>
      </w:r>
      <w:r w:rsidR="0067669F">
        <w:rPr>
          <w:rFonts w:ascii="Arial" w:eastAsia="Calibri" w:hAnsi="Arial" w:cs="Arial"/>
          <w:sz w:val="20"/>
        </w:rPr>
        <w:t xml:space="preserve"> 30</w:t>
      </w:r>
      <w:r w:rsidR="000B1D14" w:rsidRPr="00B14C47">
        <w:rPr>
          <w:rFonts w:ascii="Arial" w:eastAsia="Calibri" w:hAnsi="Arial" w:cs="Arial"/>
          <w:sz w:val="20"/>
        </w:rPr>
        <w:t xml:space="preserve"> </w:t>
      </w:r>
      <w:r w:rsidRPr="00B14C47">
        <w:rPr>
          <w:rFonts w:ascii="Arial" w:eastAsia="Calibri" w:hAnsi="Arial" w:cs="Arial"/>
          <w:sz w:val="20"/>
        </w:rPr>
        <w:t xml:space="preserve"> </w:t>
      </w:r>
      <w:r w:rsidR="0067669F">
        <w:rPr>
          <w:rFonts w:ascii="Arial" w:hAnsi="Arial" w:cs="Arial"/>
          <w:sz w:val="20"/>
        </w:rPr>
        <w:t>юни</w:t>
      </w:r>
      <w:r w:rsidR="000B1D14" w:rsidRPr="00B14C47">
        <w:rPr>
          <w:rFonts w:ascii="Arial" w:hAnsi="Arial" w:cs="Arial"/>
          <w:sz w:val="20"/>
        </w:rPr>
        <w:t xml:space="preserve"> </w:t>
      </w:r>
      <w:r w:rsidR="00F71F16" w:rsidRPr="00B14C47">
        <w:rPr>
          <w:rFonts w:ascii="Arial" w:hAnsi="Arial" w:cs="Arial"/>
          <w:sz w:val="20"/>
        </w:rPr>
        <w:t>20</w:t>
      </w:r>
      <w:r w:rsidR="003B1310" w:rsidRPr="00B14C47">
        <w:rPr>
          <w:rFonts w:ascii="Arial" w:hAnsi="Arial" w:cs="Arial"/>
          <w:sz w:val="20"/>
        </w:rPr>
        <w:t>2</w:t>
      </w:r>
      <w:r w:rsidR="00205724">
        <w:rPr>
          <w:rFonts w:ascii="Arial" w:hAnsi="Arial" w:cs="Arial"/>
          <w:sz w:val="20"/>
        </w:rPr>
        <w:t>4</w:t>
      </w:r>
      <w:r w:rsidR="00F71F16" w:rsidRPr="00B14C47">
        <w:rPr>
          <w:rFonts w:ascii="Arial" w:hAnsi="Arial" w:cs="Arial"/>
          <w:sz w:val="20"/>
        </w:rPr>
        <w:t>г</w:t>
      </w:r>
      <w:r w:rsidR="00B0760F" w:rsidRPr="00B14C47">
        <w:rPr>
          <w:rFonts w:ascii="Arial" w:hAnsi="Arial" w:cs="Arial"/>
          <w:sz w:val="20"/>
        </w:rPr>
        <w:t>.</w:t>
      </w:r>
      <w:r w:rsidR="00F71F16" w:rsidRPr="00B14C47">
        <w:rPr>
          <w:rFonts w:ascii="Arial" w:eastAsia="Calibri" w:hAnsi="Arial" w:cs="Arial"/>
          <w:sz w:val="20"/>
        </w:rPr>
        <w:t xml:space="preserve"> </w:t>
      </w:r>
      <w:r w:rsidR="00D311BC">
        <w:rPr>
          <w:rFonts w:ascii="Arial" w:eastAsia="Calibri" w:hAnsi="Arial" w:cs="Arial"/>
          <w:sz w:val="20"/>
        </w:rPr>
        <w:t>и 202</w:t>
      </w:r>
      <w:r w:rsidR="00205724">
        <w:rPr>
          <w:rFonts w:ascii="Arial" w:eastAsia="Calibri" w:hAnsi="Arial" w:cs="Arial"/>
          <w:sz w:val="20"/>
        </w:rPr>
        <w:t>3</w:t>
      </w:r>
      <w:r w:rsidRPr="00B14C47">
        <w:rPr>
          <w:rFonts w:ascii="Arial" w:eastAsia="Calibri" w:hAnsi="Arial" w:cs="Arial"/>
          <w:sz w:val="20"/>
        </w:rPr>
        <w:t xml:space="preserve">г. </w:t>
      </w:r>
    </w:p>
    <w:p w14:paraId="28648AFE" w14:textId="65AED02C" w:rsidR="00E64D2A" w:rsidRPr="00B14C47" w:rsidRDefault="00E64D2A" w:rsidP="0076262B">
      <w:pPr>
        <w:autoSpaceDE w:val="0"/>
        <w:autoSpaceDN w:val="0"/>
        <w:adjustRightInd w:val="0"/>
        <w:spacing w:line="276" w:lineRule="auto"/>
        <w:rPr>
          <w:rFonts w:ascii="Arial" w:eastAsia="Calibri" w:hAnsi="Arial" w:cs="Arial"/>
          <w:sz w:val="20"/>
        </w:rPr>
      </w:pPr>
      <w:r w:rsidRPr="00B14C47">
        <w:rPr>
          <w:rFonts w:ascii="Arial" w:eastAsia="Calibri" w:hAnsi="Arial" w:cs="Arial"/>
          <w:sz w:val="20"/>
        </w:rPr>
        <w:t>Анализите на чувствителността се изготвят при предположението, че сумата на нетния дълг, съотношението на фиксираните към плаващите лихвени проценти по дълга и деривативите и съотношението на финансовите инструменти в чуждестранни валути, са постоянни и на база определянето на хеджове какт</w:t>
      </w:r>
      <w:r w:rsidR="0067669F">
        <w:rPr>
          <w:rFonts w:ascii="Arial" w:eastAsia="Calibri" w:hAnsi="Arial" w:cs="Arial"/>
          <w:sz w:val="20"/>
        </w:rPr>
        <w:t>о те съществуват към 30 юни</w:t>
      </w:r>
      <w:r w:rsidRPr="00B14C47">
        <w:rPr>
          <w:rFonts w:ascii="Arial" w:eastAsia="Calibri" w:hAnsi="Arial" w:cs="Arial"/>
          <w:sz w:val="20"/>
        </w:rPr>
        <w:t xml:space="preserve"> </w:t>
      </w:r>
      <w:r w:rsidR="00F71F16" w:rsidRPr="00B14C47">
        <w:rPr>
          <w:rFonts w:ascii="Arial" w:eastAsia="Calibri" w:hAnsi="Arial" w:cs="Arial"/>
          <w:sz w:val="20"/>
        </w:rPr>
        <w:t>20</w:t>
      </w:r>
      <w:r w:rsidR="00D311BC">
        <w:rPr>
          <w:rFonts w:ascii="Arial" w:eastAsia="Calibri" w:hAnsi="Arial" w:cs="Arial"/>
          <w:sz w:val="20"/>
        </w:rPr>
        <w:t>2</w:t>
      </w:r>
      <w:r w:rsidR="00205724">
        <w:rPr>
          <w:rFonts w:ascii="Arial" w:eastAsia="Calibri" w:hAnsi="Arial" w:cs="Arial"/>
          <w:sz w:val="20"/>
        </w:rPr>
        <w:t>4</w:t>
      </w:r>
      <w:r w:rsidRPr="00B14C47">
        <w:rPr>
          <w:rFonts w:ascii="Arial" w:eastAsia="Calibri" w:hAnsi="Arial" w:cs="Arial"/>
          <w:sz w:val="20"/>
        </w:rPr>
        <w:t>.</w:t>
      </w:r>
    </w:p>
    <w:p w14:paraId="343509A4" w14:textId="5AC87C95" w:rsidR="00E64D2A" w:rsidRPr="00B14C47" w:rsidRDefault="00E64D2A" w:rsidP="0076262B">
      <w:pPr>
        <w:pStyle w:val="ListParagraph"/>
        <w:autoSpaceDE w:val="0"/>
        <w:autoSpaceDN w:val="0"/>
        <w:adjustRightInd w:val="0"/>
        <w:spacing w:line="276" w:lineRule="auto"/>
        <w:ind w:left="0"/>
        <w:rPr>
          <w:rFonts w:ascii="Arial" w:eastAsia="Calibri" w:hAnsi="Arial" w:cs="Arial"/>
          <w:sz w:val="20"/>
        </w:rPr>
      </w:pPr>
      <w:r w:rsidRPr="00B14C47">
        <w:rPr>
          <w:rFonts w:ascii="Arial" w:eastAsia="Calibri" w:hAnsi="Arial" w:cs="Arial"/>
          <w:sz w:val="20"/>
        </w:rPr>
        <w:t xml:space="preserve">Към </w:t>
      </w:r>
      <w:r w:rsidR="008A09BC" w:rsidRPr="00B14C47">
        <w:rPr>
          <w:rFonts w:ascii="Arial" w:hAnsi="Arial" w:cs="Arial"/>
          <w:sz w:val="20"/>
        </w:rPr>
        <w:t>3</w:t>
      </w:r>
      <w:r w:rsidR="0067669F">
        <w:rPr>
          <w:rFonts w:ascii="Arial" w:hAnsi="Arial" w:cs="Arial"/>
          <w:sz w:val="20"/>
        </w:rPr>
        <w:t>0</w:t>
      </w:r>
      <w:r w:rsidR="006C0AAB" w:rsidRPr="00B14C47">
        <w:rPr>
          <w:rFonts w:ascii="Arial" w:hAnsi="Arial" w:cs="Arial"/>
          <w:sz w:val="20"/>
        </w:rPr>
        <w:t xml:space="preserve"> </w:t>
      </w:r>
      <w:r w:rsidR="0067669F">
        <w:rPr>
          <w:rFonts w:ascii="Arial" w:hAnsi="Arial" w:cs="Arial"/>
          <w:sz w:val="20"/>
        </w:rPr>
        <w:t>юни</w:t>
      </w:r>
      <w:r w:rsidR="00D311BC">
        <w:rPr>
          <w:rFonts w:ascii="Arial" w:hAnsi="Arial" w:cs="Arial"/>
          <w:sz w:val="20"/>
        </w:rPr>
        <w:t xml:space="preserve"> 202</w:t>
      </w:r>
      <w:r w:rsidR="00205724">
        <w:rPr>
          <w:rFonts w:ascii="Arial" w:hAnsi="Arial" w:cs="Arial"/>
          <w:sz w:val="20"/>
        </w:rPr>
        <w:t>4</w:t>
      </w:r>
      <w:r w:rsidR="00934F82" w:rsidRPr="00B14C47">
        <w:rPr>
          <w:rFonts w:ascii="Arial" w:hAnsi="Arial" w:cs="Arial"/>
          <w:sz w:val="20"/>
        </w:rPr>
        <w:t>г.</w:t>
      </w:r>
      <w:r w:rsidR="008A09BC" w:rsidRPr="00B14C47">
        <w:rPr>
          <w:rFonts w:ascii="Arial" w:eastAsia="Calibri" w:hAnsi="Arial" w:cs="Arial"/>
          <w:sz w:val="20"/>
        </w:rPr>
        <w:t xml:space="preserve"> </w:t>
      </w:r>
      <w:r w:rsidRPr="00B14C47">
        <w:rPr>
          <w:rFonts w:ascii="Arial" w:eastAsia="Calibri" w:hAnsi="Arial" w:cs="Arial"/>
          <w:sz w:val="20"/>
        </w:rPr>
        <w:t xml:space="preserve">и 31 </w:t>
      </w:r>
      <w:r w:rsidR="00F31459" w:rsidRPr="00B14C47">
        <w:rPr>
          <w:rFonts w:ascii="Arial" w:hAnsi="Arial" w:cs="Arial"/>
          <w:sz w:val="20"/>
        </w:rPr>
        <w:t xml:space="preserve">декември </w:t>
      </w:r>
      <w:r w:rsidR="00D311BC">
        <w:rPr>
          <w:rFonts w:ascii="Arial" w:hAnsi="Arial" w:cs="Arial"/>
          <w:sz w:val="20"/>
        </w:rPr>
        <w:t>202</w:t>
      </w:r>
      <w:r w:rsidR="00205724">
        <w:rPr>
          <w:rFonts w:ascii="Arial" w:hAnsi="Arial" w:cs="Arial"/>
          <w:sz w:val="20"/>
        </w:rPr>
        <w:t>3</w:t>
      </w:r>
      <w:r w:rsidR="00934F82" w:rsidRPr="00B14C47">
        <w:rPr>
          <w:rFonts w:ascii="Arial" w:hAnsi="Arial" w:cs="Arial"/>
          <w:sz w:val="20"/>
        </w:rPr>
        <w:t>г.</w:t>
      </w:r>
      <w:r w:rsidR="00F71F16" w:rsidRPr="00B14C47">
        <w:rPr>
          <w:rFonts w:ascii="Arial" w:hAnsi="Arial" w:cs="Arial"/>
          <w:sz w:val="20"/>
        </w:rPr>
        <w:t xml:space="preserve">, </w:t>
      </w:r>
      <w:r w:rsidRPr="00B14C47">
        <w:rPr>
          <w:rFonts w:ascii="Arial" w:eastAsia="Calibri" w:hAnsi="Arial" w:cs="Arial"/>
          <w:sz w:val="20"/>
        </w:rPr>
        <w:t>дружеството не представя анализ на чувствителността за лихвен и валутен риск, тъй като няма лихвоносни вземания и задължения с променлива лихва и валутни вземания и задължения.</w:t>
      </w:r>
    </w:p>
    <w:p w14:paraId="766D8D4C" w14:textId="77777777" w:rsidR="00DF3F33" w:rsidRPr="00B14C47" w:rsidRDefault="00DF3F33" w:rsidP="0076262B">
      <w:pPr>
        <w:pStyle w:val="ListParagraph"/>
        <w:autoSpaceDE w:val="0"/>
        <w:autoSpaceDN w:val="0"/>
        <w:adjustRightInd w:val="0"/>
        <w:spacing w:line="276" w:lineRule="auto"/>
        <w:ind w:left="0"/>
        <w:rPr>
          <w:rFonts w:ascii="Arial" w:eastAsia="Calibri" w:hAnsi="Arial" w:cs="Arial"/>
          <w:sz w:val="20"/>
        </w:rPr>
      </w:pPr>
    </w:p>
    <w:p w14:paraId="2086F681" w14:textId="77777777" w:rsidR="00DF3F33" w:rsidRPr="00B14C47" w:rsidRDefault="00DF3F33" w:rsidP="00DF3F33">
      <w:pPr>
        <w:pStyle w:val="Heading3"/>
        <w:spacing w:before="0"/>
        <w:rPr>
          <w:rFonts w:ascii="Arial" w:hAnsi="Arial" w:cs="Arial"/>
          <w:lang w:val="bg-BG"/>
        </w:rPr>
      </w:pPr>
      <w:bookmarkStart w:id="236" w:name="_Toc160806757"/>
      <w:bookmarkStart w:id="237" w:name="_Toc164268394"/>
      <w:r w:rsidRPr="00B14C47">
        <w:rPr>
          <w:rFonts w:ascii="Arial" w:hAnsi="Arial" w:cs="Arial"/>
          <w:lang w:val="bg-BG"/>
        </w:rPr>
        <w:t>Климатични рискове</w:t>
      </w:r>
      <w:bookmarkEnd w:id="236"/>
      <w:bookmarkEnd w:id="237"/>
    </w:p>
    <w:p w14:paraId="285D16BE" w14:textId="2E3566A3" w:rsidR="008F2A68" w:rsidRPr="00663CB5" w:rsidRDefault="001517AA" w:rsidP="00CA29CF">
      <w:pPr>
        <w:spacing w:line="276" w:lineRule="auto"/>
        <w:rPr>
          <w:rFonts w:ascii="Arial" w:eastAsia="Calibri" w:hAnsi="Arial" w:cs="Arial"/>
          <w:sz w:val="20"/>
        </w:rPr>
      </w:pPr>
      <w:r w:rsidRPr="00663CB5">
        <w:rPr>
          <w:rFonts w:ascii="Arial" w:eastAsia="Calibri" w:hAnsi="Arial" w:cs="Arial"/>
          <w:sz w:val="20"/>
        </w:rPr>
        <w:t>Оценката на риска, свързан с климата, се отнася до потенциалната финансова чувствителност спрямо климатичните рискове и възможности,</w:t>
      </w:r>
      <w:r w:rsidRPr="00663CB5">
        <w:rPr>
          <w:rFonts w:ascii="Arial" w:eastAsia="Calibri" w:hAnsi="Arial" w:cs="Arial"/>
          <w:bCs/>
          <w:sz w:val="20"/>
        </w:rPr>
        <w:t xml:space="preserve"> </w:t>
      </w:r>
      <w:r w:rsidRPr="00663CB5">
        <w:rPr>
          <w:rFonts w:ascii="Arial" w:eastAsia="Calibri" w:hAnsi="Arial" w:cs="Arial"/>
          <w:sz w:val="20"/>
        </w:rPr>
        <w:t>което води до необходимост от адаптиране на финансови подходи към въпроса за климатичните промени.  </w:t>
      </w:r>
      <w:r w:rsidRPr="00663CB5">
        <w:rPr>
          <w:rFonts w:ascii="Arial" w:eastAsia="Calibri" w:hAnsi="Arial" w:cs="Arial"/>
          <w:bCs/>
          <w:sz w:val="20"/>
        </w:rPr>
        <w:t>Промените в политиките, свързани с клима</w:t>
      </w:r>
      <w:r w:rsidR="008F2A68" w:rsidRPr="00663CB5">
        <w:rPr>
          <w:rFonts w:ascii="Arial" w:eastAsia="Calibri" w:hAnsi="Arial" w:cs="Arial"/>
          <w:bCs/>
          <w:sz w:val="20"/>
        </w:rPr>
        <w:t xml:space="preserve">та </w:t>
      </w:r>
      <w:r w:rsidRPr="00663CB5">
        <w:rPr>
          <w:rFonts w:ascii="Arial" w:eastAsia="Calibri" w:hAnsi="Arial" w:cs="Arial"/>
          <w:bCs/>
          <w:sz w:val="20"/>
        </w:rPr>
        <w:t>и нарастващите физически рискове (от глобалното затопляне), ще наложат преоценка на стойността на всеки финансов актив</w:t>
      </w:r>
      <w:r w:rsidR="008F2A68" w:rsidRPr="00663CB5">
        <w:rPr>
          <w:rFonts w:ascii="Arial" w:eastAsia="Calibri" w:hAnsi="Arial" w:cs="Arial"/>
          <w:sz w:val="20"/>
        </w:rPr>
        <w:t>.</w:t>
      </w:r>
      <w:r w:rsidRPr="00663CB5">
        <w:rPr>
          <w:rFonts w:ascii="Arial" w:eastAsia="Calibri" w:hAnsi="Arial" w:cs="Arial"/>
          <w:sz w:val="20"/>
        </w:rPr>
        <w:t xml:space="preserve"> Парижкото споразумение съдържа план за действие за ограничаване на глобалното затопляне. Парижкото споразумение влиза в сила на 4 ноември 2016г., когато беше изпълнено условието то да бъде ратифицирано от поне 55 страни, отговорни за най-малко 55% от общите емисии на парникови газове. </w:t>
      </w:r>
      <w:r w:rsidRPr="00663CB5">
        <w:rPr>
          <w:rFonts w:ascii="Arial" w:eastAsia="Calibri" w:hAnsi="Arial" w:cs="Arial"/>
          <w:bCs/>
          <w:sz w:val="20"/>
        </w:rPr>
        <w:t>Всички държави от ЕС ратифицираха споразумението</w:t>
      </w:r>
      <w:r w:rsidRPr="00663CB5">
        <w:rPr>
          <w:rFonts w:ascii="Arial" w:eastAsia="Calibri" w:hAnsi="Arial" w:cs="Arial"/>
          <w:sz w:val="20"/>
        </w:rPr>
        <w:t xml:space="preserve">. </w:t>
      </w:r>
    </w:p>
    <w:p w14:paraId="5285B09A" w14:textId="035140A0" w:rsidR="001517AA" w:rsidRPr="00663CB5" w:rsidRDefault="001517AA" w:rsidP="00CA29CF">
      <w:pPr>
        <w:spacing w:line="276" w:lineRule="auto"/>
        <w:rPr>
          <w:rFonts w:ascii="Arial" w:eastAsia="Calibri" w:hAnsi="Arial" w:cs="Arial"/>
          <w:sz w:val="20"/>
        </w:rPr>
      </w:pPr>
      <w:r w:rsidRPr="00663CB5">
        <w:rPr>
          <w:rFonts w:ascii="Arial" w:eastAsia="Calibri" w:hAnsi="Arial" w:cs="Arial"/>
          <w:sz w:val="20"/>
        </w:rPr>
        <w:t>Основната  дейност на дружес</w:t>
      </w:r>
      <w:r w:rsidR="00C346DF" w:rsidRPr="00663CB5">
        <w:rPr>
          <w:rFonts w:ascii="Arial" w:eastAsia="Calibri" w:hAnsi="Arial" w:cs="Arial"/>
          <w:sz w:val="20"/>
        </w:rPr>
        <w:t>тв</w:t>
      </w:r>
      <w:r w:rsidRPr="00663CB5">
        <w:rPr>
          <w:rFonts w:ascii="Arial" w:eastAsia="Calibri" w:hAnsi="Arial" w:cs="Arial"/>
          <w:sz w:val="20"/>
        </w:rPr>
        <w:t>ото е свързана с придобиване, управление, оценка и продажба на участия в български и чуждестранни дружества, придобиване, оценка и продажба на патенти, отстъпване на лицензии за използване на патенти на дружества, в които холдинговото дружество участва, финансиране на дружества, в които холдинговото дружество участва, придобиване, управление и продажба на акции, всякаква друга</w:t>
      </w:r>
      <w:r w:rsidR="008F2A68" w:rsidRPr="00663CB5">
        <w:rPr>
          <w:rFonts w:ascii="Arial" w:eastAsia="Calibri" w:hAnsi="Arial" w:cs="Arial"/>
          <w:sz w:val="20"/>
        </w:rPr>
        <w:t xml:space="preserve"> дейност, незабранена от закона.</w:t>
      </w:r>
      <w:r w:rsidR="00C346DF" w:rsidRPr="00663CB5">
        <w:rPr>
          <w:rFonts w:ascii="Arial" w:eastAsia="Calibri" w:hAnsi="Arial" w:cs="Arial"/>
          <w:sz w:val="20"/>
        </w:rPr>
        <w:t>„Инфра Холдин</w:t>
      </w:r>
      <w:r w:rsidR="009F00E2" w:rsidRPr="00663CB5">
        <w:rPr>
          <w:rFonts w:ascii="Arial" w:eastAsia="Calibri" w:hAnsi="Arial" w:cs="Arial"/>
          <w:sz w:val="20"/>
        </w:rPr>
        <w:t>г</w:t>
      </w:r>
      <w:r w:rsidR="00C346DF" w:rsidRPr="00663CB5">
        <w:rPr>
          <w:rFonts w:ascii="Arial" w:eastAsia="Calibri" w:hAnsi="Arial" w:cs="Arial"/>
          <w:sz w:val="20"/>
        </w:rPr>
        <w:t>“" АД няма</w:t>
      </w:r>
      <w:r w:rsidR="008F2A68" w:rsidRPr="00663CB5">
        <w:rPr>
          <w:rFonts w:ascii="Arial" w:eastAsia="Calibri" w:hAnsi="Arial" w:cs="Arial"/>
          <w:sz w:val="20"/>
        </w:rPr>
        <w:t xml:space="preserve"> нито </w:t>
      </w:r>
      <w:r w:rsidR="00C346DF" w:rsidRPr="00663CB5">
        <w:rPr>
          <w:rFonts w:ascii="Arial" w:eastAsia="Calibri" w:hAnsi="Arial" w:cs="Arial"/>
          <w:sz w:val="20"/>
        </w:rPr>
        <w:t xml:space="preserve"> пряко</w:t>
      </w:r>
      <w:r w:rsidR="008F2A68" w:rsidRPr="00663CB5">
        <w:rPr>
          <w:rFonts w:ascii="Arial" w:eastAsia="Calibri" w:hAnsi="Arial" w:cs="Arial"/>
          <w:sz w:val="20"/>
        </w:rPr>
        <w:t>, нито косвено</w:t>
      </w:r>
      <w:r w:rsidR="00C346DF" w:rsidRPr="00663CB5">
        <w:rPr>
          <w:rFonts w:ascii="Arial" w:eastAsia="Calibri" w:hAnsi="Arial" w:cs="Arial"/>
          <w:sz w:val="20"/>
        </w:rPr>
        <w:t xml:space="preserve"> влияние върху емисиите на парникови газове.</w:t>
      </w:r>
    </w:p>
    <w:p w14:paraId="2C583AE6" w14:textId="45DD8362" w:rsidR="008F2A68" w:rsidRPr="00663CB5" w:rsidRDefault="008F2A68" w:rsidP="00CA29CF">
      <w:pPr>
        <w:spacing w:line="276" w:lineRule="auto"/>
        <w:rPr>
          <w:rFonts w:ascii="Arial" w:eastAsia="Calibri" w:hAnsi="Arial" w:cs="Arial"/>
          <w:sz w:val="20"/>
        </w:rPr>
      </w:pPr>
      <w:r w:rsidRPr="00663CB5">
        <w:rPr>
          <w:rFonts w:ascii="Arial" w:eastAsia="Calibri" w:hAnsi="Arial" w:cs="Arial"/>
          <w:sz w:val="20"/>
        </w:rPr>
        <w:t>Важността на Парижкото споразумение за България е в това, че като страна-членка на ЕС трябва да допринася за постигането на общите цели – намаляване на емисиите парникови газове с поне 55% до 2030 г. и постигане на климатична неутралност до 2050 г. Същевременно, предвид променените обстоятелства в международен план</w:t>
      </w:r>
      <w:r w:rsidR="007C330E">
        <w:rPr>
          <w:rFonts w:ascii="Arial" w:eastAsia="Calibri" w:hAnsi="Arial" w:cs="Arial"/>
          <w:sz w:val="20"/>
        </w:rPr>
        <w:t>,</w:t>
      </w:r>
      <w:r w:rsidRPr="00663CB5">
        <w:rPr>
          <w:rFonts w:ascii="Arial" w:eastAsia="Calibri" w:hAnsi="Arial" w:cs="Arial"/>
          <w:sz w:val="20"/>
        </w:rPr>
        <w:t xml:space="preserve"> </w:t>
      </w:r>
      <w:r w:rsidR="007C330E">
        <w:rPr>
          <w:rFonts w:ascii="Arial" w:eastAsia="Calibri" w:hAnsi="Arial" w:cs="Arial"/>
          <w:sz w:val="20"/>
        </w:rPr>
        <w:t>не само</w:t>
      </w:r>
      <w:r w:rsidRPr="00663CB5">
        <w:rPr>
          <w:rFonts w:ascii="Arial" w:eastAsia="Calibri" w:hAnsi="Arial" w:cs="Arial"/>
          <w:sz w:val="20"/>
        </w:rPr>
        <w:t xml:space="preserve"> по отношение на търговията с емисии, е наложително националната политика за реагиране на климатичните промени да бъде променена за разработване на нов тип законодателен акт, отчитащ комплексния и хоризонтален характер на климатичната политика и регламентиращ осъществяването й с отчитане на специфични за България рискове от вече наблюдаваните климатични промени. Този нов тип законодателен акт за климата трябва да стъпи на</w:t>
      </w:r>
      <w:hyperlink r:id="rId10" w:history="1">
        <w:r w:rsidRPr="00663CB5">
          <w:rPr>
            <w:rFonts w:ascii="Arial" w:eastAsia="Calibri" w:hAnsi="Arial" w:cs="Arial"/>
            <w:sz w:val="20"/>
          </w:rPr>
          <w:t> новия Европейски закон за климата</w:t>
        </w:r>
      </w:hyperlink>
      <w:r w:rsidRPr="00663CB5">
        <w:rPr>
          <w:rFonts w:ascii="Arial" w:eastAsia="Calibri" w:hAnsi="Arial" w:cs="Arial"/>
          <w:sz w:val="20"/>
        </w:rPr>
        <w:t xml:space="preserve">  и да прилага добри практики от други страни съобразно условията в България.  </w:t>
      </w:r>
    </w:p>
    <w:p w14:paraId="5C9AD5BE" w14:textId="793B8687" w:rsidR="005120A1" w:rsidRPr="00AF5B4B" w:rsidRDefault="005120A1" w:rsidP="00CA29CF">
      <w:pPr>
        <w:pStyle w:val="NormalWeb"/>
        <w:shd w:val="clear" w:color="auto" w:fill="FFFFFF"/>
        <w:spacing w:before="0" w:beforeAutospacing="0" w:after="0" w:afterAutospacing="0" w:line="276" w:lineRule="auto"/>
        <w:jc w:val="both"/>
        <w:rPr>
          <w:rFonts w:ascii="Arial" w:eastAsia="Calibri" w:hAnsi="Arial" w:cs="Arial"/>
          <w:sz w:val="20"/>
          <w:szCs w:val="20"/>
        </w:rPr>
      </w:pPr>
      <w:r w:rsidRPr="00AF5B4B">
        <w:rPr>
          <w:rFonts w:ascii="Arial" w:eastAsia="Calibri" w:hAnsi="Arial" w:cs="Arial"/>
          <w:sz w:val="20"/>
          <w:szCs w:val="20"/>
        </w:rPr>
        <w:t>Във връзка с повишаване на цените на ел.енергията през втората половина на 2022г, през октомври 2022г,  държавите – членки на ЕС, приеха официално регламент на Съвета относно спешна намеса за справяне с високите цени на енергията.</w:t>
      </w:r>
    </w:p>
    <w:p w14:paraId="3B06BF2D" w14:textId="04F22ED7" w:rsidR="005120A1" w:rsidRPr="00AF5B4B" w:rsidRDefault="005120A1" w:rsidP="00CA29CF">
      <w:pPr>
        <w:pStyle w:val="NormalWeb"/>
        <w:shd w:val="clear" w:color="auto" w:fill="FFFFFF"/>
        <w:spacing w:before="0" w:beforeAutospacing="0" w:after="0" w:afterAutospacing="0" w:line="276" w:lineRule="auto"/>
        <w:jc w:val="both"/>
        <w:rPr>
          <w:rFonts w:ascii="Arial" w:eastAsia="Calibri" w:hAnsi="Arial" w:cs="Arial"/>
          <w:sz w:val="20"/>
          <w:szCs w:val="20"/>
        </w:rPr>
      </w:pPr>
      <w:r w:rsidRPr="00AF5B4B">
        <w:rPr>
          <w:rFonts w:ascii="Arial" w:eastAsia="Calibri" w:hAnsi="Arial" w:cs="Arial"/>
          <w:sz w:val="20"/>
          <w:szCs w:val="20"/>
        </w:rPr>
        <w:lastRenderedPageBreak/>
        <w:t>Регламентът въвежда общи мерки за намаляване на търсенето на електроенергия и за събиране и преразпределяне на свръхприходите от енергийния сектор към домакинствата и малките и средните предприятия.</w:t>
      </w:r>
      <w:r w:rsidR="00A37F60" w:rsidRPr="00AF5B4B">
        <w:rPr>
          <w:rFonts w:ascii="Arial" w:hAnsi="Arial" w:cs="Arial"/>
          <w:color w:val="3F4A52"/>
          <w:sz w:val="20"/>
          <w:szCs w:val="20"/>
          <w:shd w:val="clear" w:color="auto" w:fill="FFFFFF"/>
        </w:rPr>
        <w:t xml:space="preserve"> </w:t>
      </w:r>
      <w:r w:rsidR="00A37F60" w:rsidRPr="00AF5B4B">
        <w:rPr>
          <w:rFonts w:ascii="Arial" w:eastAsia="Calibri" w:hAnsi="Arial" w:cs="Arial"/>
          <w:sz w:val="20"/>
          <w:szCs w:val="20"/>
        </w:rPr>
        <w:t>Регламентът на Съвета определя доброволна обща цел за намаляване с 10% на брутното потребление на електроенергия и задължителна цел за намаляване с 5% на потреблението на електроенергия през върховите часове. Държавите</w:t>
      </w:r>
      <w:r w:rsidR="00A37F60" w:rsidRPr="00AF5B4B">
        <w:rPr>
          <w:rFonts w:ascii="Arial" w:hAnsi="Arial" w:cs="Arial"/>
          <w:color w:val="3F4A52"/>
          <w:sz w:val="20"/>
          <w:szCs w:val="20"/>
          <w:shd w:val="clear" w:color="auto" w:fill="FFFFFF"/>
        </w:rPr>
        <w:t xml:space="preserve"> </w:t>
      </w:r>
      <w:r w:rsidR="00A37F60" w:rsidRPr="00AF5B4B">
        <w:rPr>
          <w:rFonts w:ascii="Arial" w:eastAsia="Calibri" w:hAnsi="Arial" w:cs="Arial"/>
          <w:sz w:val="20"/>
          <w:szCs w:val="20"/>
        </w:rPr>
        <w:t>членки ще имат свободата да изберат подходящите мерки за</w:t>
      </w:r>
      <w:r w:rsidR="00A37F60" w:rsidRPr="00AF5B4B">
        <w:rPr>
          <w:rFonts w:ascii="Arial" w:hAnsi="Arial" w:cs="Arial"/>
          <w:color w:val="3F4A52"/>
          <w:sz w:val="20"/>
          <w:szCs w:val="20"/>
          <w:shd w:val="clear" w:color="auto" w:fill="FFFFFF"/>
        </w:rPr>
        <w:t xml:space="preserve"> </w:t>
      </w:r>
      <w:r w:rsidR="00A37F60" w:rsidRPr="00AF5B4B">
        <w:rPr>
          <w:rFonts w:ascii="Arial" w:eastAsia="Calibri" w:hAnsi="Arial" w:cs="Arial"/>
          <w:sz w:val="20"/>
          <w:szCs w:val="20"/>
        </w:rPr>
        <w:t xml:space="preserve">намаляване на потреблението с оглед на постигането и на двете цели през този период. </w:t>
      </w:r>
    </w:p>
    <w:p w14:paraId="07D36A89" w14:textId="30C09CD3" w:rsidR="00DF3F33" w:rsidRPr="00663CB5" w:rsidRDefault="00A37F60" w:rsidP="00CA29CF">
      <w:pPr>
        <w:pStyle w:val="NormalWeb"/>
        <w:shd w:val="clear" w:color="auto" w:fill="FFFFFF"/>
        <w:spacing w:before="0" w:beforeAutospacing="0" w:after="0" w:afterAutospacing="0" w:line="276" w:lineRule="auto"/>
        <w:jc w:val="both"/>
        <w:rPr>
          <w:rFonts w:ascii="Arial" w:eastAsia="Calibri" w:hAnsi="Arial" w:cs="Arial"/>
          <w:sz w:val="20"/>
          <w:szCs w:val="20"/>
          <w:lang w:val="en-US"/>
        </w:rPr>
      </w:pPr>
      <w:r w:rsidRPr="00AF5B4B">
        <w:rPr>
          <w:rFonts w:ascii="Arial" w:eastAsia="Calibri" w:hAnsi="Arial" w:cs="Arial"/>
          <w:sz w:val="20"/>
          <w:szCs w:val="20"/>
        </w:rPr>
        <w:t>Рязкото повишаване на цените на ел.енергията не оказва пряко влияние върху дейността на дружеството</w:t>
      </w:r>
      <w:r w:rsidR="007C330E">
        <w:rPr>
          <w:rFonts w:ascii="Arial" w:eastAsia="Calibri" w:hAnsi="Arial" w:cs="Arial"/>
          <w:sz w:val="20"/>
          <w:szCs w:val="20"/>
        </w:rPr>
        <w:t>. Като цяло на този етап не се наблюдават съществени преки ефекти върху дейността на дружеството от климатичните рискове.</w:t>
      </w:r>
    </w:p>
    <w:p w14:paraId="34E3E94F" w14:textId="267A5371" w:rsidR="00CA29CF" w:rsidRDefault="00CA29CF" w:rsidP="00663CB5">
      <w:pPr>
        <w:pStyle w:val="Heading2"/>
        <w:spacing w:before="0" w:line="276" w:lineRule="auto"/>
        <w:rPr>
          <w:rFonts w:ascii="Arial" w:hAnsi="Arial" w:cs="Arial"/>
          <w:sz w:val="20"/>
          <w:szCs w:val="20"/>
          <w:lang w:val="bg-BG"/>
        </w:rPr>
      </w:pPr>
    </w:p>
    <w:p w14:paraId="3DDFE46D" w14:textId="77777777" w:rsidR="00CA29CF" w:rsidRPr="00CA29CF" w:rsidRDefault="00CA29CF" w:rsidP="00CA29CF"/>
    <w:p w14:paraId="60FBD240" w14:textId="03E9A176" w:rsidR="00B66DF8" w:rsidRPr="00663CB5" w:rsidRDefault="00E64D2A" w:rsidP="00663CB5">
      <w:pPr>
        <w:pStyle w:val="Heading2"/>
        <w:spacing w:before="0" w:line="276" w:lineRule="auto"/>
        <w:rPr>
          <w:rFonts w:ascii="Arial" w:hAnsi="Arial" w:cs="Arial"/>
          <w:i/>
          <w:sz w:val="20"/>
          <w:szCs w:val="20"/>
          <w:lang w:val="bg-BG"/>
        </w:rPr>
      </w:pPr>
      <w:bookmarkStart w:id="238" w:name="_Toc164268395"/>
      <w:r w:rsidRPr="00663CB5">
        <w:rPr>
          <w:rFonts w:ascii="Arial" w:hAnsi="Arial" w:cs="Arial"/>
          <w:sz w:val="20"/>
          <w:szCs w:val="20"/>
          <w:lang w:val="bg-BG"/>
        </w:rPr>
        <w:t>3</w:t>
      </w:r>
      <w:r w:rsidR="00B66DF8" w:rsidRPr="00663CB5">
        <w:rPr>
          <w:rFonts w:ascii="Arial" w:hAnsi="Arial" w:cs="Arial"/>
          <w:i/>
          <w:sz w:val="20"/>
          <w:szCs w:val="20"/>
          <w:lang w:val="bg-BG"/>
        </w:rPr>
        <w:t>. Управление на капитала</w:t>
      </w:r>
      <w:bookmarkEnd w:id="238"/>
    </w:p>
    <w:p w14:paraId="37BDC97A" w14:textId="77777777"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Капиталът включва собствен капитал, принадлежащ на акционерите.</w:t>
      </w:r>
    </w:p>
    <w:p w14:paraId="06E71A33" w14:textId="77777777"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Основната цел на управлението на капитала на Дружеството е да се гарантира, че тя поддържа стабилен кредитен рейтинг и подходящи капиталови съотношения, за да поддържа бизнеса си и да увеличи максимално стойността за акционерите.</w:t>
      </w:r>
    </w:p>
    <w:p w14:paraId="6AE4D7F0" w14:textId="77777777"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Дружеството управлява капиталовата си структура и прави корекции в нея с оглед на промените в икономическите условия. За поддържане или коригиране на капиталовата структура Дружеството може да коригира плащането на дивиденти на акционерите, възвръщаемостта върху капитала на акционерите или емисията на нови акции.</w:t>
      </w:r>
    </w:p>
    <w:p w14:paraId="683D01FA" w14:textId="4B1EEE0C"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 xml:space="preserve">През периода, приключващ на </w:t>
      </w:r>
      <w:r w:rsidR="008A09BC" w:rsidRPr="00663CB5">
        <w:rPr>
          <w:rFonts w:ascii="Arial" w:hAnsi="Arial" w:cs="Arial"/>
          <w:sz w:val="20"/>
        </w:rPr>
        <w:t>3</w:t>
      </w:r>
      <w:r w:rsidR="0067669F">
        <w:rPr>
          <w:rFonts w:ascii="Arial" w:hAnsi="Arial" w:cs="Arial"/>
          <w:sz w:val="20"/>
        </w:rPr>
        <w:t>0</w:t>
      </w:r>
      <w:r w:rsidR="008A09BC" w:rsidRPr="00663CB5">
        <w:rPr>
          <w:rFonts w:ascii="Arial" w:hAnsi="Arial" w:cs="Arial"/>
          <w:sz w:val="20"/>
        </w:rPr>
        <w:t xml:space="preserve"> </w:t>
      </w:r>
      <w:r w:rsidR="0067669F">
        <w:rPr>
          <w:rFonts w:ascii="Arial" w:hAnsi="Arial" w:cs="Arial"/>
          <w:sz w:val="20"/>
        </w:rPr>
        <w:t>юни</w:t>
      </w:r>
      <w:r w:rsidR="008A09BC" w:rsidRPr="00663CB5">
        <w:rPr>
          <w:rFonts w:ascii="Arial" w:hAnsi="Arial" w:cs="Arial"/>
          <w:sz w:val="20"/>
          <w:lang w:val="en-US"/>
        </w:rPr>
        <w:t xml:space="preserve"> </w:t>
      </w:r>
      <w:r w:rsidR="008A09BC" w:rsidRPr="00663CB5">
        <w:rPr>
          <w:rFonts w:ascii="Arial" w:hAnsi="Arial" w:cs="Arial"/>
          <w:sz w:val="20"/>
        </w:rPr>
        <w:t xml:space="preserve"> 20</w:t>
      </w:r>
      <w:r w:rsidR="00D311BC">
        <w:rPr>
          <w:rFonts w:ascii="Arial" w:hAnsi="Arial" w:cs="Arial"/>
          <w:sz w:val="20"/>
        </w:rPr>
        <w:t>2</w:t>
      </w:r>
      <w:r w:rsidR="00F06B46">
        <w:rPr>
          <w:rFonts w:ascii="Arial" w:hAnsi="Arial" w:cs="Arial"/>
          <w:sz w:val="20"/>
        </w:rPr>
        <w:t>4</w:t>
      </w:r>
      <w:r w:rsidR="008A09BC" w:rsidRPr="00663CB5">
        <w:rPr>
          <w:rFonts w:ascii="Arial" w:hAnsi="Arial" w:cs="Arial"/>
          <w:sz w:val="20"/>
        </w:rPr>
        <w:t>г</w:t>
      </w:r>
      <w:r w:rsidR="00EC055F" w:rsidRPr="00663CB5">
        <w:rPr>
          <w:rFonts w:ascii="Arial" w:eastAsia="Calibri" w:hAnsi="Arial" w:cs="Arial"/>
          <w:sz w:val="20"/>
        </w:rPr>
        <w:t>. и 31 д</w:t>
      </w:r>
      <w:r w:rsidR="00D311BC">
        <w:rPr>
          <w:rFonts w:ascii="Arial" w:eastAsia="Calibri" w:hAnsi="Arial" w:cs="Arial"/>
          <w:sz w:val="20"/>
        </w:rPr>
        <w:t>екември 202</w:t>
      </w:r>
      <w:r w:rsidR="00F06B46">
        <w:rPr>
          <w:rFonts w:ascii="Arial" w:eastAsia="Calibri" w:hAnsi="Arial" w:cs="Arial"/>
          <w:sz w:val="20"/>
        </w:rPr>
        <w:t>3</w:t>
      </w:r>
      <w:r w:rsidRPr="00663CB5">
        <w:rPr>
          <w:rFonts w:ascii="Arial" w:eastAsia="Calibri" w:hAnsi="Arial" w:cs="Arial"/>
          <w:sz w:val="20"/>
        </w:rPr>
        <w:t xml:space="preserve"> г. няма промени в целите, политиката или процесите за управление на капитала.</w:t>
      </w:r>
    </w:p>
    <w:p w14:paraId="0781D453" w14:textId="77777777" w:rsidR="00F96EAA"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Дружеството наблюдава капитала като използва съотношение на задлъжнялост, което представлява нетния дълг, разделен на общия капитал плюс нетния дълг. Дружеството включва в нетния дълг, лихвоносните заеми и привлечени средства, заем от партньори в съвместно предприятие, търговски и други задължения, намалени с паричните средства и паричните еквиваленти.</w:t>
      </w:r>
    </w:p>
    <w:p w14:paraId="1ABB3B56" w14:textId="77777777" w:rsidR="00B53DC6" w:rsidRPr="00663CB5" w:rsidRDefault="00B53DC6" w:rsidP="00663CB5">
      <w:pPr>
        <w:autoSpaceDE w:val="0"/>
        <w:autoSpaceDN w:val="0"/>
        <w:adjustRightInd w:val="0"/>
        <w:spacing w:line="276" w:lineRule="auto"/>
        <w:rPr>
          <w:rFonts w:ascii="Arial" w:eastAsia="Calibri" w:hAnsi="Arial" w:cs="Arial"/>
          <w:b/>
          <w:sz w:val="20"/>
        </w:rPr>
      </w:pPr>
    </w:p>
    <w:p w14:paraId="1BE01B26" w14:textId="77777777" w:rsidR="00B66DF8" w:rsidRPr="00663CB5" w:rsidRDefault="00452960" w:rsidP="00663CB5">
      <w:pPr>
        <w:pStyle w:val="Heading2"/>
        <w:spacing w:before="0" w:line="276" w:lineRule="auto"/>
        <w:rPr>
          <w:rFonts w:ascii="Arial" w:hAnsi="Arial" w:cs="Arial"/>
          <w:i/>
          <w:sz w:val="20"/>
          <w:szCs w:val="20"/>
          <w:lang w:val="bg-BG"/>
        </w:rPr>
      </w:pPr>
      <w:bookmarkStart w:id="239" w:name="_Toc247959215"/>
      <w:bookmarkStart w:id="240" w:name="_Toc164268396"/>
      <w:bookmarkStart w:id="241" w:name="_Hlk509917168"/>
      <w:r w:rsidRPr="00663CB5">
        <w:rPr>
          <w:rFonts w:ascii="Arial" w:hAnsi="Arial" w:cs="Arial"/>
          <w:i/>
          <w:sz w:val="20"/>
          <w:szCs w:val="20"/>
          <w:lang w:val="bg-BG"/>
        </w:rPr>
        <w:t>4</w:t>
      </w:r>
      <w:r w:rsidR="00B66DF8" w:rsidRPr="00663CB5">
        <w:rPr>
          <w:rFonts w:ascii="Arial" w:hAnsi="Arial" w:cs="Arial"/>
          <w:i/>
          <w:sz w:val="20"/>
          <w:szCs w:val="20"/>
          <w:lang w:val="bg-BG"/>
        </w:rPr>
        <w:t>. Условни активи и пасиви</w:t>
      </w:r>
      <w:bookmarkEnd w:id="239"/>
      <w:bookmarkEnd w:id="240"/>
    </w:p>
    <w:p w14:paraId="7F7E5086" w14:textId="77777777" w:rsidR="006435EE" w:rsidRPr="00663CB5" w:rsidRDefault="006435EE" w:rsidP="00663CB5">
      <w:pPr>
        <w:spacing w:line="276" w:lineRule="auto"/>
        <w:rPr>
          <w:rFonts w:ascii="Arial" w:hAnsi="Arial" w:cs="Arial"/>
          <w:sz w:val="20"/>
        </w:rPr>
      </w:pPr>
      <w:r w:rsidRPr="00663CB5">
        <w:rPr>
          <w:rFonts w:ascii="Arial" w:hAnsi="Arial" w:cs="Arial"/>
          <w:sz w:val="20"/>
        </w:rPr>
        <w:t>Условните пасиви на Дружеството не са признати, но са оповестени, освен ако възможността за изходящ поток на ресурси съдържащ икономически ползи е отдалечен във времето.</w:t>
      </w:r>
    </w:p>
    <w:p w14:paraId="2BE42F13" w14:textId="77777777" w:rsidR="006435EE" w:rsidRPr="00663CB5" w:rsidRDefault="006435EE" w:rsidP="00663CB5">
      <w:pPr>
        <w:spacing w:line="276" w:lineRule="auto"/>
        <w:rPr>
          <w:rFonts w:ascii="Arial" w:hAnsi="Arial" w:cs="Arial"/>
          <w:sz w:val="20"/>
        </w:rPr>
      </w:pPr>
      <w:r w:rsidRPr="00663CB5">
        <w:rPr>
          <w:rFonts w:ascii="Arial" w:hAnsi="Arial" w:cs="Arial"/>
          <w:sz w:val="20"/>
        </w:rPr>
        <w:t>Условните пасиви представляват възможни задължения, възникващи от минали събития, чието съществуване ще бъде потвърдено само от настъпването или ненастъпването на едно или повече несигурни бъдещи събития не изцяло в рамките на контрола на юридическото лице. Те не се признават защото не е вероятно, че изходящ поток от ресурси ще бъде необходим за покриване на задължението и сумата на задължението не може да бъде оценена с достатъчна надеждност.</w:t>
      </w:r>
    </w:p>
    <w:p w14:paraId="6BEEB242" w14:textId="77777777" w:rsidR="006435EE" w:rsidRPr="00663CB5" w:rsidRDefault="006435EE" w:rsidP="00663CB5">
      <w:pPr>
        <w:spacing w:line="276" w:lineRule="auto"/>
        <w:rPr>
          <w:rFonts w:ascii="Arial" w:hAnsi="Arial" w:cs="Arial"/>
          <w:sz w:val="20"/>
        </w:rPr>
      </w:pPr>
      <w:r w:rsidRPr="00663CB5">
        <w:rPr>
          <w:rFonts w:ascii="Arial" w:hAnsi="Arial" w:cs="Arial"/>
          <w:sz w:val="20"/>
        </w:rPr>
        <w:t>Неизбежно определянето на условен пасив изисква значителни преценка от страна на ръководството.</w:t>
      </w:r>
    </w:p>
    <w:p w14:paraId="3F397D52" w14:textId="77777777" w:rsidR="006435EE" w:rsidRPr="00663CB5" w:rsidRDefault="006435EE" w:rsidP="00663CB5">
      <w:pPr>
        <w:spacing w:line="276" w:lineRule="auto"/>
        <w:rPr>
          <w:rFonts w:ascii="Arial" w:hAnsi="Arial" w:cs="Arial"/>
          <w:sz w:val="20"/>
        </w:rPr>
      </w:pPr>
      <w:r w:rsidRPr="00663CB5">
        <w:rPr>
          <w:rFonts w:ascii="Arial" w:hAnsi="Arial" w:cs="Arial"/>
          <w:sz w:val="20"/>
        </w:rPr>
        <w:t>Дружеството не признава условните активи. Те обикновено възникват от непланирани или други неочаквани събития, които пораждат възможност в Дружеството да постъпи входящ поток икономически ползи. Условните активи не се признават във финансовите отчети, тъй като това може да има за резултат признаването на доход, който може никога да не бъде реализиран.</w:t>
      </w:r>
    </w:p>
    <w:p w14:paraId="1B8989A2" w14:textId="77777777" w:rsidR="00926D2C" w:rsidRPr="00663CB5" w:rsidRDefault="00926D2C" w:rsidP="00663CB5">
      <w:pPr>
        <w:autoSpaceDE w:val="0"/>
        <w:autoSpaceDN w:val="0"/>
        <w:adjustRightInd w:val="0"/>
        <w:spacing w:line="276" w:lineRule="auto"/>
        <w:rPr>
          <w:rFonts w:ascii="Arial" w:hAnsi="Arial" w:cs="Arial"/>
          <w:b/>
          <w:sz w:val="20"/>
        </w:rPr>
      </w:pPr>
    </w:p>
    <w:p w14:paraId="0671D356" w14:textId="77777777" w:rsidR="009D5BCD" w:rsidRPr="00663CB5" w:rsidRDefault="00452960" w:rsidP="00663CB5">
      <w:pPr>
        <w:spacing w:line="276" w:lineRule="auto"/>
        <w:rPr>
          <w:rFonts w:ascii="Arial" w:hAnsi="Arial" w:cs="Arial"/>
          <w:b/>
          <w:i/>
          <w:color w:val="4472C4" w:themeColor="accent1"/>
          <w:sz w:val="20"/>
        </w:rPr>
      </w:pPr>
      <w:bookmarkStart w:id="242" w:name="_Toc247959216"/>
      <w:bookmarkStart w:id="243" w:name="_Hlk510717333"/>
      <w:bookmarkStart w:id="244" w:name="_Hlk511574192"/>
      <w:bookmarkEnd w:id="241"/>
      <w:r w:rsidRPr="00663CB5">
        <w:rPr>
          <w:rFonts w:ascii="Arial" w:hAnsi="Arial" w:cs="Arial"/>
          <w:b/>
          <w:i/>
          <w:color w:val="4472C4" w:themeColor="accent1"/>
          <w:sz w:val="20"/>
        </w:rPr>
        <w:t>5</w:t>
      </w:r>
      <w:r w:rsidR="00B66DF8" w:rsidRPr="00663CB5">
        <w:rPr>
          <w:rFonts w:ascii="Arial" w:hAnsi="Arial" w:cs="Arial"/>
          <w:b/>
          <w:i/>
          <w:color w:val="4472C4" w:themeColor="accent1"/>
          <w:sz w:val="20"/>
        </w:rPr>
        <w:t>. Събития след края на отчетния период</w:t>
      </w:r>
      <w:bookmarkEnd w:id="242"/>
      <w:r w:rsidR="009D5BCD" w:rsidRPr="00663CB5">
        <w:rPr>
          <w:rFonts w:ascii="Arial" w:hAnsi="Arial" w:cs="Arial"/>
          <w:b/>
          <w:sz w:val="20"/>
        </w:rPr>
        <w:t xml:space="preserve"> </w:t>
      </w:r>
    </w:p>
    <w:p w14:paraId="57C548A8" w14:textId="3CF49C5B" w:rsidR="006435EE" w:rsidRPr="00663CB5" w:rsidRDefault="006435EE" w:rsidP="00663CB5">
      <w:pPr>
        <w:spacing w:line="276" w:lineRule="auto"/>
        <w:rPr>
          <w:rFonts w:ascii="Arial" w:hAnsi="Arial" w:cs="Arial"/>
          <w:sz w:val="20"/>
        </w:rPr>
      </w:pPr>
      <w:r w:rsidRPr="00663CB5">
        <w:rPr>
          <w:rFonts w:ascii="Arial" w:hAnsi="Arial" w:cs="Arial"/>
          <w:sz w:val="20"/>
        </w:rPr>
        <w:t xml:space="preserve">Не са настъпили съществени събития след края на отчетния период, които да налагат допълнителни корекции или оповестявания във финансовия отчет на Дружеството за </w:t>
      </w:r>
      <w:r w:rsidR="0067669F">
        <w:rPr>
          <w:rFonts w:ascii="Arial" w:hAnsi="Arial" w:cs="Arial"/>
          <w:sz w:val="20"/>
        </w:rPr>
        <w:t>периода, приключващ на 30 юни</w:t>
      </w:r>
      <w:r w:rsidR="00F06B46">
        <w:rPr>
          <w:rFonts w:ascii="Arial" w:hAnsi="Arial" w:cs="Arial"/>
          <w:sz w:val="20"/>
        </w:rPr>
        <w:t xml:space="preserve"> 2024г.</w:t>
      </w:r>
    </w:p>
    <w:p w14:paraId="46813AA2" w14:textId="77777777" w:rsidR="00B66DF8" w:rsidRPr="00663CB5" w:rsidRDefault="00B66DF8" w:rsidP="00663CB5">
      <w:pPr>
        <w:pStyle w:val="Heading2"/>
        <w:spacing w:before="0" w:line="276" w:lineRule="auto"/>
        <w:rPr>
          <w:rFonts w:ascii="Arial" w:hAnsi="Arial" w:cs="Arial"/>
          <w:i/>
          <w:sz w:val="20"/>
          <w:szCs w:val="20"/>
          <w:lang w:val="bg-BG"/>
        </w:rPr>
      </w:pPr>
    </w:p>
    <w:p w14:paraId="66B33E61" w14:textId="77777777" w:rsidR="00B66DF8" w:rsidRPr="00663CB5" w:rsidRDefault="00452960" w:rsidP="00663CB5">
      <w:pPr>
        <w:pStyle w:val="Heading2"/>
        <w:spacing w:before="0" w:line="276" w:lineRule="auto"/>
        <w:rPr>
          <w:rFonts w:ascii="Arial" w:hAnsi="Arial" w:cs="Arial"/>
          <w:i/>
          <w:sz w:val="20"/>
          <w:szCs w:val="20"/>
          <w:lang w:val="bg-BG"/>
        </w:rPr>
      </w:pPr>
      <w:bookmarkStart w:id="245" w:name="_Toc164268397"/>
      <w:bookmarkEnd w:id="243"/>
      <w:bookmarkEnd w:id="244"/>
      <w:r w:rsidRPr="00663CB5">
        <w:rPr>
          <w:rFonts w:ascii="Arial" w:hAnsi="Arial" w:cs="Arial"/>
          <w:i/>
          <w:sz w:val="20"/>
          <w:szCs w:val="20"/>
          <w:lang w:val="bg-BG"/>
        </w:rPr>
        <w:t>6</w:t>
      </w:r>
      <w:r w:rsidR="00B66DF8" w:rsidRPr="00663CB5">
        <w:rPr>
          <w:rFonts w:ascii="Arial" w:hAnsi="Arial" w:cs="Arial"/>
          <w:i/>
          <w:sz w:val="20"/>
          <w:szCs w:val="20"/>
          <w:lang w:val="bg-BG"/>
        </w:rPr>
        <w:t>. Възнаграждение за одит</w:t>
      </w:r>
      <w:bookmarkEnd w:id="245"/>
    </w:p>
    <w:p w14:paraId="056CEDCD" w14:textId="46989A21" w:rsidR="00B66DF8" w:rsidRPr="00663CB5" w:rsidRDefault="00B66DF8" w:rsidP="00663CB5">
      <w:pPr>
        <w:pStyle w:val="BodyText"/>
        <w:spacing w:after="0" w:line="276" w:lineRule="auto"/>
        <w:rPr>
          <w:rFonts w:ascii="Arial" w:hAnsi="Arial" w:cs="Arial"/>
          <w:sz w:val="20"/>
          <w:szCs w:val="20"/>
          <w:lang w:val="bg-BG"/>
        </w:rPr>
      </w:pPr>
      <w:r w:rsidRPr="00663CB5">
        <w:rPr>
          <w:rFonts w:ascii="Arial" w:hAnsi="Arial" w:cs="Arial"/>
          <w:sz w:val="20"/>
          <w:szCs w:val="20"/>
          <w:lang w:val="bg-BG"/>
        </w:rPr>
        <w:t xml:space="preserve">Съгласно чл. 30, ал. 1 от ЗС Дружеството оповестява, че възнаграждението за одит </w:t>
      </w:r>
      <w:r w:rsidR="00452960" w:rsidRPr="00663CB5">
        <w:rPr>
          <w:rFonts w:ascii="Arial" w:hAnsi="Arial" w:cs="Arial"/>
          <w:sz w:val="20"/>
          <w:szCs w:val="20"/>
          <w:lang w:val="bg-BG"/>
        </w:rPr>
        <w:t xml:space="preserve">на индивидуалните и консолидирани финансови отчети </w:t>
      </w:r>
      <w:r w:rsidRPr="00663CB5">
        <w:rPr>
          <w:rFonts w:ascii="Arial" w:hAnsi="Arial" w:cs="Arial"/>
          <w:sz w:val="20"/>
          <w:szCs w:val="20"/>
          <w:lang w:val="bg-BG"/>
        </w:rPr>
        <w:t xml:space="preserve">за </w:t>
      </w:r>
      <w:r w:rsidR="004578F8" w:rsidRPr="00663CB5">
        <w:rPr>
          <w:rFonts w:ascii="Arial" w:hAnsi="Arial" w:cs="Arial"/>
          <w:sz w:val="20"/>
          <w:szCs w:val="20"/>
          <w:lang w:val="bg-BG"/>
        </w:rPr>
        <w:t>20</w:t>
      </w:r>
      <w:r w:rsidR="00A36602" w:rsidRPr="00663CB5">
        <w:rPr>
          <w:rFonts w:ascii="Arial" w:hAnsi="Arial" w:cs="Arial"/>
          <w:sz w:val="20"/>
          <w:szCs w:val="20"/>
        </w:rPr>
        <w:t>2</w:t>
      </w:r>
      <w:r w:rsidR="00D311BC">
        <w:rPr>
          <w:rFonts w:ascii="Arial" w:hAnsi="Arial" w:cs="Arial"/>
          <w:sz w:val="20"/>
          <w:szCs w:val="20"/>
        </w:rPr>
        <w:t>3</w:t>
      </w:r>
      <w:r w:rsidR="00436C5B" w:rsidRPr="00663CB5">
        <w:rPr>
          <w:rFonts w:ascii="Arial" w:hAnsi="Arial" w:cs="Arial"/>
          <w:sz w:val="20"/>
          <w:szCs w:val="20"/>
          <w:lang w:val="bg-BG"/>
        </w:rPr>
        <w:t>г.</w:t>
      </w:r>
      <w:r w:rsidRPr="00663CB5">
        <w:rPr>
          <w:rFonts w:ascii="Arial" w:hAnsi="Arial" w:cs="Arial"/>
          <w:sz w:val="20"/>
          <w:szCs w:val="20"/>
          <w:lang w:val="bg-BG"/>
        </w:rPr>
        <w:t xml:space="preserve"> е в</w:t>
      </w:r>
      <w:r w:rsidR="00F31459" w:rsidRPr="00663CB5">
        <w:rPr>
          <w:rFonts w:ascii="Arial" w:hAnsi="Arial" w:cs="Arial"/>
          <w:sz w:val="20"/>
          <w:szCs w:val="20"/>
        </w:rPr>
        <w:t xml:space="preserve"> </w:t>
      </w:r>
      <w:r w:rsidR="00F71F16" w:rsidRPr="00663CB5">
        <w:rPr>
          <w:rFonts w:ascii="Arial" w:hAnsi="Arial" w:cs="Arial"/>
          <w:sz w:val="20"/>
          <w:szCs w:val="20"/>
          <w:lang w:val="bg-BG"/>
        </w:rPr>
        <w:t xml:space="preserve">размер на </w:t>
      </w:r>
      <w:r w:rsidR="006435EE" w:rsidRPr="00663CB5">
        <w:rPr>
          <w:rFonts w:ascii="Arial" w:hAnsi="Arial" w:cs="Arial"/>
          <w:sz w:val="20"/>
          <w:szCs w:val="20"/>
          <w:lang w:val="bg-BG"/>
        </w:rPr>
        <w:t>9</w:t>
      </w:r>
      <w:r w:rsidR="00F71F16" w:rsidRPr="00663CB5">
        <w:rPr>
          <w:rFonts w:ascii="Arial" w:hAnsi="Arial" w:cs="Arial"/>
          <w:sz w:val="20"/>
          <w:szCs w:val="20"/>
        </w:rPr>
        <w:t xml:space="preserve"> </w:t>
      </w:r>
      <w:r w:rsidR="00F71F16" w:rsidRPr="00663CB5">
        <w:rPr>
          <w:rFonts w:ascii="Arial" w:hAnsi="Arial" w:cs="Arial"/>
          <w:sz w:val="20"/>
          <w:szCs w:val="20"/>
          <w:lang w:val="bg-BG"/>
        </w:rPr>
        <w:t>хил.лв.</w:t>
      </w:r>
    </w:p>
    <w:p w14:paraId="3EEB8DCA" w14:textId="77777777" w:rsidR="000C2BB5" w:rsidRPr="00663CB5" w:rsidRDefault="000C2BB5" w:rsidP="00663CB5">
      <w:pPr>
        <w:pStyle w:val="BodyText"/>
        <w:spacing w:after="0" w:line="276" w:lineRule="auto"/>
        <w:rPr>
          <w:rFonts w:ascii="Arial" w:hAnsi="Arial" w:cs="Arial"/>
          <w:b/>
          <w:sz w:val="20"/>
          <w:szCs w:val="20"/>
          <w:lang w:val="bg-BG"/>
        </w:rPr>
      </w:pPr>
    </w:p>
    <w:p w14:paraId="6DAB60B0" w14:textId="77777777" w:rsidR="00B66DF8" w:rsidRPr="00663CB5" w:rsidRDefault="00452960" w:rsidP="00663CB5">
      <w:pPr>
        <w:pStyle w:val="Heading2"/>
        <w:spacing w:before="0" w:line="276" w:lineRule="auto"/>
        <w:rPr>
          <w:rFonts w:ascii="Arial" w:hAnsi="Arial" w:cs="Arial"/>
          <w:i/>
          <w:sz w:val="20"/>
          <w:szCs w:val="20"/>
          <w:lang w:val="bg-BG"/>
        </w:rPr>
      </w:pPr>
      <w:bookmarkStart w:id="246" w:name="_Toc247959218"/>
      <w:bookmarkStart w:id="247" w:name="_Toc164268398"/>
      <w:bookmarkStart w:id="248" w:name="_Hlk510717358"/>
      <w:r w:rsidRPr="00663CB5">
        <w:rPr>
          <w:rFonts w:ascii="Arial" w:hAnsi="Arial" w:cs="Arial"/>
          <w:i/>
          <w:sz w:val="20"/>
          <w:szCs w:val="20"/>
          <w:lang w:val="bg-BG"/>
        </w:rPr>
        <w:lastRenderedPageBreak/>
        <w:t>7</w:t>
      </w:r>
      <w:r w:rsidR="00B66DF8" w:rsidRPr="00663CB5">
        <w:rPr>
          <w:rFonts w:ascii="Arial" w:hAnsi="Arial" w:cs="Arial"/>
          <w:i/>
          <w:sz w:val="20"/>
          <w:szCs w:val="20"/>
          <w:lang w:val="bg-BG"/>
        </w:rPr>
        <w:t xml:space="preserve">. </w:t>
      </w:r>
      <w:bookmarkEnd w:id="246"/>
      <w:r w:rsidR="00B66DF8" w:rsidRPr="00663CB5">
        <w:rPr>
          <w:rFonts w:ascii="Arial" w:hAnsi="Arial" w:cs="Arial"/>
          <w:i/>
          <w:sz w:val="20"/>
          <w:szCs w:val="20"/>
          <w:lang w:val="bg-BG"/>
        </w:rPr>
        <w:t>Принцип-предположение за действащо предприятие – финансово състояние</w:t>
      </w:r>
      <w:bookmarkEnd w:id="247"/>
    </w:p>
    <w:p w14:paraId="62A925C3" w14:textId="381A1959" w:rsidR="00926D2C" w:rsidRDefault="00E83B4C" w:rsidP="00663CB5">
      <w:pPr>
        <w:autoSpaceDE w:val="0"/>
        <w:autoSpaceDN w:val="0"/>
        <w:adjustRightInd w:val="0"/>
        <w:spacing w:line="276" w:lineRule="auto"/>
        <w:rPr>
          <w:rFonts w:ascii="Arial" w:hAnsi="Arial" w:cs="Arial"/>
          <w:sz w:val="20"/>
        </w:rPr>
      </w:pPr>
      <w:r w:rsidRPr="00663CB5">
        <w:rPr>
          <w:rFonts w:ascii="Arial" w:eastAsia="Calibri" w:hAnsi="Arial" w:cs="Arial"/>
          <w:sz w:val="20"/>
        </w:rPr>
        <w:t>Индивидуалния</w:t>
      </w:r>
      <w:r w:rsidR="000C2BB5" w:rsidRPr="00663CB5">
        <w:rPr>
          <w:rFonts w:ascii="Arial" w:eastAsia="Calibri" w:hAnsi="Arial" w:cs="Arial"/>
          <w:sz w:val="20"/>
        </w:rPr>
        <w:t>т</w:t>
      </w:r>
      <w:r w:rsidRPr="00663CB5">
        <w:rPr>
          <w:rFonts w:ascii="Arial" w:eastAsia="Calibri" w:hAnsi="Arial" w:cs="Arial"/>
          <w:sz w:val="20"/>
        </w:rPr>
        <w:t xml:space="preserve"> финансов отчет за периода завършващ на </w:t>
      </w:r>
      <w:r w:rsidR="008A09BC" w:rsidRPr="00663CB5">
        <w:rPr>
          <w:rFonts w:ascii="Arial" w:eastAsia="Calibri" w:hAnsi="Arial" w:cs="Arial"/>
          <w:sz w:val="20"/>
        </w:rPr>
        <w:t>3</w:t>
      </w:r>
      <w:r w:rsidR="0067669F">
        <w:rPr>
          <w:rFonts w:ascii="Arial" w:eastAsia="Calibri" w:hAnsi="Arial" w:cs="Arial"/>
          <w:sz w:val="20"/>
        </w:rPr>
        <w:t>0 юни</w:t>
      </w:r>
      <w:r w:rsidR="008A09BC" w:rsidRPr="00663CB5">
        <w:rPr>
          <w:rFonts w:ascii="Arial" w:eastAsia="Calibri" w:hAnsi="Arial" w:cs="Arial"/>
          <w:sz w:val="20"/>
        </w:rPr>
        <w:t xml:space="preserve">  20</w:t>
      </w:r>
      <w:r w:rsidR="00D311BC">
        <w:rPr>
          <w:rFonts w:ascii="Arial" w:eastAsia="Calibri" w:hAnsi="Arial" w:cs="Arial"/>
          <w:sz w:val="20"/>
        </w:rPr>
        <w:t>2</w:t>
      </w:r>
      <w:r w:rsidR="00F06B46">
        <w:rPr>
          <w:rFonts w:ascii="Arial" w:eastAsia="Calibri" w:hAnsi="Arial" w:cs="Arial"/>
          <w:sz w:val="20"/>
        </w:rPr>
        <w:t>4</w:t>
      </w:r>
      <w:r w:rsidR="008A09BC" w:rsidRPr="00663CB5">
        <w:rPr>
          <w:rFonts w:ascii="Arial" w:eastAsia="Calibri" w:hAnsi="Arial" w:cs="Arial"/>
          <w:sz w:val="20"/>
        </w:rPr>
        <w:t>г</w:t>
      </w:r>
      <w:r w:rsidRPr="00663CB5">
        <w:rPr>
          <w:rFonts w:ascii="Arial" w:eastAsia="Calibri" w:hAnsi="Arial" w:cs="Arial"/>
          <w:sz w:val="20"/>
        </w:rPr>
        <w:t xml:space="preserve">. е изготвен на принципа на действащо предприятие. </w:t>
      </w:r>
    </w:p>
    <w:p w14:paraId="77AF70F9" w14:textId="77777777" w:rsidR="00F06B46" w:rsidRPr="00663CB5" w:rsidRDefault="00F06B46" w:rsidP="00663CB5">
      <w:pPr>
        <w:autoSpaceDE w:val="0"/>
        <w:autoSpaceDN w:val="0"/>
        <w:adjustRightInd w:val="0"/>
        <w:spacing w:line="276" w:lineRule="auto"/>
        <w:rPr>
          <w:rFonts w:ascii="Arial" w:hAnsi="Arial" w:cs="Arial"/>
          <w:sz w:val="20"/>
        </w:rPr>
      </w:pPr>
    </w:p>
    <w:p w14:paraId="202855FD" w14:textId="24CB90B3" w:rsidR="00D43EF2" w:rsidRPr="00CA29CF" w:rsidRDefault="00D43EF2" w:rsidP="00D43EF2">
      <w:pPr>
        <w:pStyle w:val="Heading2"/>
        <w:spacing w:before="0"/>
        <w:rPr>
          <w:rFonts w:ascii="Arial" w:hAnsi="Arial" w:cs="Arial"/>
          <w:i/>
          <w:sz w:val="20"/>
          <w:szCs w:val="20"/>
          <w:lang w:val="bg-BG"/>
        </w:rPr>
      </w:pPr>
      <w:bookmarkStart w:id="249" w:name="_Toc164268399"/>
      <w:bookmarkStart w:id="250" w:name="_Hlk517279915"/>
      <w:bookmarkEnd w:id="248"/>
      <w:r w:rsidRPr="00CA29CF">
        <w:rPr>
          <w:rFonts w:ascii="Arial" w:hAnsi="Arial" w:cs="Arial"/>
          <w:i/>
          <w:sz w:val="20"/>
          <w:szCs w:val="20"/>
          <w:lang w:val="bg-BG"/>
        </w:rPr>
        <w:t>8. Значими събития</w:t>
      </w:r>
      <w:r w:rsidR="00D311BC" w:rsidRPr="00CA29CF">
        <w:rPr>
          <w:rFonts w:ascii="Arial" w:hAnsi="Arial" w:cs="Arial"/>
          <w:i/>
          <w:sz w:val="20"/>
          <w:szCs w:val="20"/>
          <w:lang w:val="bg-BG"/>
        </w:rPr>
        <w:t xml:space="preserve"> през</w:t>
      </w:r>
      <w:r w:rsidR="0067669F">
        <w:rPr>
          <w:rFonts w:ascii="Arial" w:hAnsi="Arial" w:cs="Arial"/>
          <w:i/>
          <w:sz w:val="20"/>
          <w:szCs w:val="20"/>
          <w:lang w:val="bg-BG"/>
        </w:rPr>
        <w:t xml:space="preserve"> първо шест</w:t>
      </w:r>
      <w:r w:rsidR="00F06B46">
        <w:rPr>
          <w:rFonts w:ascii="Arial" w:hAnsi="Arial" w:cs="Arial"/>
          <w:i/>
          <w:sz w:val="20"/>
          <w:szCs w:val="20"/>
          <w:lang w:val="bg-BG"/>
        </w:rPr>
        <w:t>месечие на</w:t>
      </w:r>
      <w:r w:rsidR="00D311BC" w:rsidRPr="00CA29CF">
        <w:rPr>
          <w:rFonts w:ascii="Arial" w:hAnsi="Arial" w:cs="Arial"/>
          <w:i/>
          <w:sz w:val="20"/>
          <w:szCs w:val="20"/>
          <w:lang w:val="bg-BG"/>
        </w:rPr>
        <w:t xml:space="preserve"> 202</w:t>
      </w:r>
      <w:r w:rsidR="00F06B46">
        <w:rPr>
          <w:rFonts w:ascii="Arial" w:hAnsi="Arial" w:cs="Arial"/>
          <w:i/>
          <w:sz w:val="20"/>
          <w:szCs w:val="20"/>
          <w:lang w:val="bg-BG"/>
        </w:rPr>
        <w:t>4</w:t>
      </w:r>
      <w:r w:rsidRPr="00CA29CF">
        <w:rPr>
          <w:rFonts w:ascii="Arial" w:hAnsi="Arial" w:cs="Arial"/>
          <w:i/>
          <w:sz w:val="20"/>
          <w:szCs w:val="20"/>
          <w:lang w:val="bg-BG"/>
        </w:rPr>
        <w:t>г.</w:t>
      </w:r>
      <w:r w:rsidR="00DF3F33" w:rsidRPr="00CA29CF">
        <w:rPr>
          <w:rFonts w:ascii="Arial" w:hAnsi="Arial" w:cs="Arial"/>
          <w:i/>
          <w:sz w:val="20"/>
          <w:szCs w:val="20"/>
          <w:lang w:val="bg-BG"/>
        </w:rPr>
        <w:t xml:space="preserve"> и ефекти върху дружеството</w:t>
      </w:r>
      <w:bookmarkEnd w:id="249"/>
    </w:p>
    <w:p w14:paraId="2FA6E4AA" w14:textId="77777777" w:rsidR="00DF3F33" w:rsidRPr="00CA29CF" w:rsidRDefault="00DF3F33" w:rsidP="00663CB5">
      <w:pPr>
        <w:spacing w:line="276" w:lineRule="auto"/>
        <w:rPr>
          <w:rFonts w:ascii="Arial" w:hAnsi="Arial" w:cs="Arial"/>
          <w:b/>
          <w:sz w:val="20"/>
        </w:rPr>
      </w:pPr>
      <w:r w:rsidRPr="00CA29CF">
        <w:rPr>
          <w:rFonts w:ascii="Arial" w:hAnsi="Arial" w:cs="Arial"/>
          <w:b/>
          <w:sz w:val="20"/>
        </w:rPr>
        <w:t>Последици от руската инвазия в Украйна</w:t>
      </w:r>
    </w:p>
    <w:p w14:paraId="5683BA77" w14:textId="1EAC672D" w:rsidR="00A1009D" w:rsidRPr="00CA29CF" w:rsidRDefault="00492798" w:rsidP="00663CB5">
      <w:pPr>
        <w:pStyle w:val="BodyText"/>
        <w:spacing w:after="0" w:line="276" w:lineRule="auto"/>
        <w:rPr>
          <w:rFonts w:ascii="Arial" w:hAnsi="Arial" w:cs="Arial"/>
          <w:bCs w:val="0"/>
          <w:sz w:val="20"/>
          <w:szCs w:val="20"/>
          <w:lang w:val="bg-BG"/>
        </w:rPr>
      </w:pPr>
      <w:r w:rsidRPr="00CA29CF">
        <w:rPr>
          <w:rFonts w:ascii="Arial" w:hAnsi="Arial" w:cs="Arial"/>
          <w:bCs w:val="0"/>
          <w:sz w:val="20"/>
          <w:szCs w:val="20"/>
          <w:lang w:val="bg-BG"/>
        </w:rPr>
        <w:t>В края на м.</w:t>
      </w:r>
      <w:r w:rsidR="00F90DFA">
        <w:rPr>
          <w:rFonts w:ascii="Arial" w:hAnsi="Arial" w:cs="Arial"/>
          <w:bCs w:val="0"/>
          <w:sz w:val="20"/>
          <w:szCs w:val="20"/>
          <w:lang w:val="bg-BG"/>
        </w:rPr>
        <w:t xml:space="preserve"> </w:t>
      </w:r>
      <w:r w:rsidRPr="00CA29CF">
        <w:rPr>
          <w:rFonts w:ascii="Arial" w:hAnsi="Arial" w:cs="Arial"/>
          <w:bCs w:val="0"/>
          <w:sz w:val="20"/>
          <w:szCs w:val="20"/>
          <w:lang w:val="bg-BG"/>
        </w:rPr>
        <w:t>Февруари 2022г. Русия нападна Украйна</w:t>
      </w:r>
      <w:r w:rsidR="00A1009D" w:rsidRPr="00CA29CF">
        <w:rPr>
          <w:rFonts w:ascii="Arial" w:hAnsi="Arial" w:cs="Arial"/>
          <w:bCs w:val="0"/>
          <w:sz w:val="20"/>
          <w:szCs w:val="20"/>
          <w:lang w:val="bg-BG"/>
        </w:rPr>
        <w:t xml:space="preserve"> в резултат, на което са настъпиха редица</w:t>
      </w:r>
      <w:r w:rsidRPr="00CA29CF">
        <w:rPr>
          <w:rFonts w:ascii="Arial" w:hAnsi="Arial" w:cs="Arial"/>
          <w:bCs w:val="0"/>
          <w:sz w:val="20"/>
          <w:szCs w:val="20"/>
          <w:lang w:val="bg-BG"/>
        </w:rPr>
        <w:t xml:space="preserve"> негативни последствия за икономиката на ЕС и в частност на България. </w:t>
      </w:r>
    </w:p>
    <w:p w14:paraId="33D95D45" w14:textId="1ADC8433" w:rsidR="00A1009D" w:rsidRPr="00CA29CF" w:rsidRDefault="00A1009D" w:rsidP="00663CB5">
      <w:pPr>
        <w:shd w:val="clear" w:color="auto" w:fill="FFFFFF"/>
        <w:spacing w:line="276" w:lineRule="auto"/>
        <w:rPr>
          <w:rFonts w:ascii="Arial" w:hAnsi="Arial" w:cs="Arial"/>
          <w:sz w:val="20"/>
        </w:rPr>
      </w:pPr>
      <w:r w:rsidRPr="00CA29CF">
        <w:rPr>
          <w:rFonts w:ascii="Arial" w:hAnsi="Arial" w:cs="Arial"/>
          <w:sz w:val="20"/>
        </w:rPr>
        <w:t>Инвазията на Русия в Украйна оказа силно влияние върху страните от Югоизточна Европа, които споделят общи граници с Киев или са достатъчно близо, за да изпитат силно</w:t>
      </w:r>
      <w:r w:rsidR="003976B2" w:rsidRPr="00CA29CF">
        <w:rPr>
          <w:rFonts w:ascii="Arial" w:hAnsi="Arial" w:cs="Arial"/>
          <w:sz w:val="20"/>
        </w:rPr>
        <w:t xml:space="preserve"> негативното </w:t>
      </w:r>
      <w:r w:rsidRPr="00CA29CF">
        <w:rPr>
          <w:rFonts w:ascii="Arial" w:hAnsi="Arial" w:cs="Arial"/>
          <w:sz w:val="20"/>
        </w:rPr>
        <w:t>въздействие от войната, превръщайки се буквално за една нощ в част от транзитния маршрут или крайна дестинация за украинските бежанци. Въпреки че България няма обща граница с Украйна, косвено бяха усетени ефектите от войната. България, която разчита в голяма степен на енергийните доставки от Русия, беше една от първите страни, чиито газови доставки бяха прекъснати от Москва. България прие голям брой украински граждани, разв</w:t>
      </w:r>
      <w:r w:rsidR="003976B2" w:rsidRPr="00CA29CF">
        <w:rPr>
          <w:rFonts w:ascii="Arial" w:hAnsi="Arial" w:cs="Arial"/>
          <w:sz w:val="20"/>
        </w:rPr>
        <w:t>ивайки политика за тяхното инте</w:t>
      </w:r>
      <w:r w:rsidRPr="00CA29CF">
        <w:rPr>
          <w:rFonts w:ascii="Arial" w:hAnsi="Arial" w:cs="Arial"/>
          <w:sz w:val="20"/>
        </w:rPr>
        <w:t>гриране и подпомагане.</w:t>
      </w:r>
    </w:p>
    <w:p w14:paraId="2B6D55CC" w14:textId="580CD4DA" w:rsidR="002949D9" w:rsidRPr="00CA29CF" w:rsidRDefault="002949D9" w:rsidP="00663CB5">
      <w:pPr>
        <w:shd w:val="clear" w:color="auto" w:fill="FFFFFF"/>
        <w:spacing w:line="276" w:lineRule="auto"/>
        <w:rPr>
          <w:rFonts w:ascii="Arial" w:hAnsi="Arial" w:cs="Arial"/>
          <w:sz w:val="20"/>
        </w:rPr>
      </w:pPr>
      <w:r w:rsidRPr="00CA29CF">
        <w:rPr>
          <w:rFonts w:ascii="Arial" w:hAnsi="Arial" w:cs="Arial"/>
          <w:sz w:val="20"/>
        </w:rPr>
        <w:t xml:space="preserve">Дружеството няма активи в засегнатите във военния конфликт страни. На този етап няма преки последствия върху финансовото състояние на Дружеството. </w:t>
      </w:r>
    </w:p>
    <w:p w14:paraId="769B73D0" w14:textId="5A132333" w:rsidR="00492798" w:rsidRPr="00CA29CF" w:rsidRDefault="00492798" w:rsidP="00663CB5">
      <w:pPr>
        <w:pStyle w:val="BodyText"/>
        <w:spacing w:after="0" w:line="276" w:lineRule="auto"/>
        <w:rPr>
          <w:rFonts w:ascii="Arial" w:hAnsi="Arial" w:cs="Arial"/>
          <w:bCs w:val="0"/>
          <w:sz w:val="20"/>
          <w:szCs w:val="20"/>
          <w:lang w:val="bg-BG"/>
        </w:rPr>
      </w:pPr>
      <w:r w:rsidRPr="00CA29CF">
        <w:rPr>
          <w:rFonts w:ascii="Arial" w:hAnsi="Arial" w:cs="Arial"/>
          <w:bCs w:val="0"/>
          <w:sz w:val="20"/>
          <w:szCs w:val="20"/>
          <w:lang w:val="bg-BG"/>
        </w:rPr>
        <w:t xml:space="preserve">Към датата на одобрение на финансовия отчет не може да се даде точна оценка за ефекти върху икономиката на България и в частност върху дружеството. </w:t>
      </w:r>
    </w:p>
    <w:p w14:paraId="35007254" w14:textId="77777777" w:rsidR="00DF3F33" w:rsidRPr="00CA29CF" w:rsidRDefault="00DF3F33" w:rsidP="00663CB5">
      <w:pPr>
        <w:spacing w:line="276" w:lineRule="auto"/>
        <w:rPr>
          <w:rFonts w:ascii="Arial" w:hAnsi="Arial" w:cs="Arial"/>
          <w:b/>
          <w:sz w:val="20"/>
          <w:lang w:val="en-US"/>
        </w:rPr>
      </w:pPr>
    </w:p>
    <w:p w14:paraId="10A18BC5" w14:textId="6595488B" w:rsidR="00D311BC" w:rsidRPr="00CA29CF" w:rsidRDefault="00D311BC" w:rsidP="00D311BC">
      <w:pPr>
        <w:spacing w:line="276" w:lineRule="auto"/>
        <w:rPr>
          <w:rFonts w:ascii="Arial" w:hAnsi="Arial" w:cs="Arial"/>
          <w:b/>
          <w:sz w:val="20"/>
        </w:rPr>
      </w:pPr>
      <w:r w:rsidRPr="00CA29CF">
        <w:rPr>
          <w:rFonts w:ascii="Arial" w:hAnsi="Arial" w:cs="Arial"/>
          <w:b/>
          <w:sz w:val="20"/>
        </w:rPr>
        <w:t>Последици от военния конфликт между Израел и Палестина</w:t>
      </w:r>
    </w:p>
    <w:p w14:paraId="0CCCD6D6" w14:textId="77777777" w:rsidR="00D26965" w:rsidRPr="00CA29CF" w:rsidRDefault="00D26965" w:rsidP="00D26965">
      <w:pPr>
        <w:shd w:val="clear" w:color="auto" w:fill="FFFFFF"/>
        <w:spacing w:line="276" w:lineRule="auto"/>
        <w:rPr>
          <w:rFonts w:ascii="Arial" w:hAnsi="Arial" w:cs="Arial"/>
          <w:sz w:val="20"/>
        </w:rPr>
      </w:pPr>
      <w:r w:rsidRPr="00CA29CF">
        <w:rPr>
          <w:rFonts w:ascii="Arial" w:hAnsi="Arial" w:cs="Arial"/>
          <w:sz w:val="20"/>
        </w:rPr>
        <w:t xml:space="preserve">На  07.10.2023 г. с изненадващо нападение на територията на еврейската държава се възобнови тлеещият военен конфликт между Палестина и  Израел. Тази ескалация на напрежението в Близкия изток и по специално в ивицата Газа, доведе до редица несигурности в икономическото и геополитическото развитие на региона, постави редица въпроси и доведе до негативни последствия в икономическото развитие в световен мащаб. </w:t>
      </w:r>
    </w:p>
    <w:p w14:paraId="59AE5937" w14:textId="61B33E00" w:rsidR="00D311BC" w:rsidRPr="00CA29CF" w:rsidRDefault="00D26965" w:rsidP="00D26965">
      <w:pPr>
        <w:shd w:val="clear" w:color="auto" w:fill="FFFFFF"/>
        <w:spacing w:line="276" w:lineRule="auto"/>
        <w:rPr>
          <w:rFonts w:ascii="Arial" w:hAnsi="Arial" w:cs="Arial"/>
          <w:sz w:val="20"/>
        </w:rPr>
      </w:pPr>
      <w:r w:rsidRPr="00CA29CF">
        <w:rPr>
          <w:rFonts w:ascii="Arial" w:hAnsi="Arial" w:cs="Arial"/>
          <w:sz w:val="20"/>
        </w:rPr>
        <w:t xml:space="preserve">Дружеството няма активи в засегнатите във военния конфликт страни. На този етап няма преки последствия върху финансовото състояние на Дружеството. </w:t>
      </w:r>
    </w:p>
    <w:p w14:paraId="345E6F93" w14:textId="77777777" w:rsidR="00D26965" w:rsidRPr="00CA29CF" w:rsidRDefault="00D26965" w:rsidP="00D26965">
      <w:pPr>
        <w:shd w:val="clear" w:color="auto" w:fill="FFFFFF"/>
        <w:spacing w:line="276" w:lineRule="auto"/>
        <w:rPr>
          <w:rFonts w:ascii="Arial" w:hAnsi="Arial" w:cs="Arial"/>
          <w:sz w:val="20"/>
        </w:rPr>
      </w:pPr>
    </w:p>
    <w:p w14:paraId="6D2EC0E0" w14:textId="77777777" w:rsidR="00DF3F33" w:rsidRPr="00CA29CF" w:rsidRDefault="00DF3F33" w:rsidP="00663CB5">
      <w:pPr>
        <w:spacing w:line="276" w:lineRule="auto"/>
        <w:rPr>
          <w:rFonts w:ascii="Arial" w:hAnsi="Arial" w:cs="Arial"/>
          <w:b/>
          <w:sz w:val="20"/>
        </w:rPr>
      </w:pPr>
      <w:r w:rsidRPr="00CA29CF">
        <w:rPr>
          <w:rFonts w:ascii="Arial" w:hAnsi="Arial" w:cs="Arial"/>
          <w:b/>
          <w:sz w:val="20"/>
        </w:rPr>
        <w:t>Макроикономическа среда</w:t>
      </w:r>
    </w:p>
    <w:p w14:paraId="1C62FEE3" w14:textId="1FCB3BAD" w:rsidR="00EA4ADA" w:rsidRPr="00CA29CF" w:rsidRDefault="00384AA7" w:rsidP="00EA4ADA">
      <w:pPr>
        <w:shd w:val="clear" w:color="auto" w:fill="FFFFFF"/>
        <w:spacing w:line="276" w:lineRule="auto"/>
        <w:rPr>
          <w:rFonts w:ascii="Arial" w:hAnsi="Arial" w:cs="Arial"/>
          <w:sz w:val="20"/>
        </w:rPr>
      </w:pPr>
      <w:r w:rsidRPr="00CA29CF">
        <w:rPr>
          <w:rFonts w:ascii="Arial" w:hAnsi="Arial" w:cs="Arial"/>
          <w:sz w:val="20"/>
        </w:rPr>
        <w:t>Влошаването на мак</w:t>
      </w:r>
      <w:r w:rsidR="00EA4ADA" w:rsidRPr="00CA29CF">
        <w:rPr>
          <w:rFonts w:ascii="Arial" w:hAnsi="Arial" w:cs="Arial"/>
          <w:sz w:val="20"/>
        </w:rPr>
        <w:t>роикономическата среда през 2023</w:t>
      </w:r>
      <w:r w:rsidRPr="00CA29CF">
        <w:rPr>
          <w:rFonts w:ascii="Arial" w:hAnsi="Arial" w:cs="Arial"/>
          <w:sz w:val="20"/>
        </w:rPr>
        <w:t>г</w:t>
      </w:r>
      <w:r w:rsidR="00663CB5" w:rsidRPr="00CA29CF">
        <w:rPr>
          <w:rFonts w:ascii="Arial" w:hAnsi="Arial" w:cs="Arial"/>
          <w:sz w:val="20"/>
        </w:rPr>
        <w:t>.</w:t>
      </w:r>
      <w:r w:rsidRPr="00CA29CF">
        <w:rPr>
          <w:rFonts w:ascii="Arial" w:hAnsi="Arial" w:cs="Arial"/>
          <w:sz w:val="20"/>
        </w:rPr>
        <w:t xml:space="preserve"> несъмнено налага адаптиране на бизнес моделите към нова конюнктура.</w:t>
      </w:r>
      <w:r w:rsidR="009F3969" w:rsidRPr="00CA29CF">
        <w:rPr>
          <w:rFonts w:ascii="Arial" w:hAnsi="Arial" w:cs="Arial"/>
          <w:sz w:val="20"/>
        </w:rPr>
        <w:t xml:space="preserve"> </w:t>
      </w:r>
      <w:bookmarkStart w:id="251" w:name="_Hlk160807100"/>
      <w:r w:rsidR="009F3969" w:rsidRPr="00CA29CF">
        <w:rPr>
          <w:rFonts w:ascii="Arial" w:hAnsi="Arial" w:cs="Arial"/>
          <w:bCs/>
          <w:sz w:val="20"/>
        </w:rPr>
        <w:t>За втора поредна година продължава да се наблюдава висока инфлация и тенденция за ръст на лихвите. Това от своя страна поставя под висок риск от по-съществени увеличения на разходите и натиск на трудовия пазар, риск относно конкуретноспособността на Дружеството, увеличаване на разходите за заеми, намаляване на способността за финансиране. На този етап не се наблюдават съществени преки негативни ефекти, които да не могат да бъдат контролирани. Ръководството ще продължи да следи внимателно макроикономическите показатели и потенциалните рискове пред Дружеството.</w:t>
      </w:r>
      <w:bookmarkEnd w:id="251"/>
      <w:r w:rsidR="00CA29CF">
        <w:rPr>
          <w:rFonts w:ascii="Arial" w:hAnsi="Arial" w:cs="Arial"/>
          <w:bCs/>
          <w:sz w:val="20"/>
        </w:rPr>
        <w:t xml:space="preserve"> </w:t>
      </w:r>
      <w:r w:rsidR="00EA4ADA" w:rsidRPr="00CA29CF">
        <w:rPr>
          <w:rFonts w:ascii="Arial" w:hAnsi="Arial" w:cs="Arial"/>
          <w:sz w:val="20"/>
        </w:rPr>
        <w:t>Предвид неблагоприятната външна и вътрешна икономическа обстановка, реалният растеж на БВП се прогнозира да остане под потенциалния, като през 2024 г. се очаква да бъде малко над 2%. До 2026</w:t>
      </w:r>
      <w:r w:rsidR="00CA29CF">
        <w:rPr>
          <w:rFonts w:ascii="Arial" w:hAnsi="Arial" w:cs="Arial"/>
          <w:sz w:val="20"/>
        </w:rPr>
        <w:t>г</w:t>
      </w:r>
      <w:r w:rsidR="00EA4ADA" w:rsidRPr="00CA29CF">
        <w:rPr>
          <w:rFonts w:ascii="Arial" w:hAnsi="Arial" w:cs="Arial"/>
          <w:sz w:val="20"/>
        </w:rPr>
        <w:t>. растежът плавно ще се възстанови до средните нива преди пандемията, като вътрешното търсене ще продължи да бъде основен фактор на икономическия растеж. Динамиката на потреблението ще се определя от нарастването на работните заплати, умереното повишаване на заетостта и ниския, но все пак положителен растеж на кредитната активност в страната. Инвестициите ще се влияят основно от темповете на усвояване на средствата от ЕС. За целия период 2024-2026 г. приносът на външното търсене в икономическия растеж ще остане отрицателен.</w:t>
      </w:r>
    </w:p>
    <w:p w14:paraId="1CD90D74" w14:textId="77777777" w:rsidR="00EA4ADA" w:rsidRPr="00CA29CF" w:rsidRDefault="00EA4ADA" w:rsidP="00EA4ADA">
      <w:pPr>
        <w:shd w:val="clear" w:color="auto" w:fill="FFFFFF"/>
        <w:spacing w:line="276" w:lineRule="auto"/>
        <w:rPr>
          <w:rFonts w:ascii="Arial" w:hAnsi="Arial" w:cs="Arial"/>
          <w:sz w:val="20"/>
        </w:rPr>
      </w:pPr>
      <w:r w:rsidRPr="00CA29CF">
        <w:rPr>
          <w:rFonts w:ascii="Arial" w:hAnsi="Arial" w:cs="Arial"/>
          <w:sz w:val="20"/>
        </w:rPr>
        <w:t>В средносрочен план икономическият растеж в България се очаква да бъде в рамките на 3-3.5% годишно. Нарастването на инвестициите ще се определя основно от напредването на програмния период и допусканията за ускорено усвояване на европейски средства по Националния план за възстановяване и устойчивост.</w:t>
      </w:r>
    </w:p>
    <w:p w14:paraId="4DE5DD74" w14:textId="20AEC1EA" w:rsidR="00EA4ADA" w:rsidRPr="00CA29CF" w:rsidRDefault="00EA4ADA" w:rsidP="00EA4ADA">
      <w:pPr>
        <w:shd w:val="clear" w:color="auto" w:fill="FFFFFF"/>
        <w:spacing w:line="276" w:lineRule="auto"/>
        <w:rPr>
          <w:rFonts w:ascii="Arial" w:hAnsi="Arial" w:cs="Arial"/>
          <w:sz w:val="20"/>
        </w:rPr>
      </w:pPr>
      <w:r w:rsidRPr="00CA29CF">
        <w:rPr>
          <w:rFonts w:ascii="Arial" w:hAnsi="Arial" w:cs="Arial"/>
          <w:sz w:val="20"/>
        </w:rPr>
        <w:lastRenderedPageBreak/>
        <w:t>През периода 2024-2026 г. инфлацията постепенно ще намалява, но ще бъде по-висока от обичайната през предходното десетилетие. Това до голяма степен се дължи на външни фактори.</w:t>
      </w:r>
    </w:p>
    <w:p w14:paraId="066D7B78" w14:textId="6415D3F8" w:rsidR="00EA4ADA" w:rsidRPr="00CA29CF" w:rsidRDefault="00EA4ADA" w:rsidP="00EA4ADA">
      <w:pPr>
        <w:shd w:val="clear" w:color="auto" w:fill="FFFFFF"/>
        <w:spacing w:line="276" w:lineRule="auto"/>
        <w:rPr>
          <w:rFonts w:ascii="Arial" w:hAnsi="Arial" w:cs="Arial"/>
          <w:sz w:val="20"/>
        </w:rPr>
      </w:pPr>
      <w:r w:rsidRPr="00CA29CF">
        <w:rPr>
          <w:rFonts w:ascii="Arial" w:hAnsi="Arial" w:cs="Arial"/>
          <w:sz w:val="20"/>
        </w:rPr>
        <w:t>През периода 2024-2026 г. заетостта в страната ще продължи да се определя от темпа на икономически растеж при ограниченията, зададени от демографската ситуация. На този етап не се отчита промяна в предлагането на труд, породена от бежанската вълна от Украйна. Основанията са свързани с това, че близо 1/3 от бежанците са под трудоспособна възраст.</w:t>
      </w:r>
    </w:p>
    <w:p w14:paraId="5FB6B46B" w14:textId="373EF3CF" w:rsidR="00DF3F33" w:rsidRPr="00CA29CF" w:rsidRDefault="009F3969" w:rsidP="00EA4ADA">
      <w:pPr>
        <w:shd w:val="clear" w:color="auto" w:fill="FFFFFF"/>
        <w:spacing w:line="276" w:lineRule="auto"/>
        <w:rPr>
          <w:rFonts w:ascii="Arial" w:hAnsi="Arial" w:cs="Arial"/>
          <w:sz w:val="20"/>
        </w:rPr>
      </w:pPr>
      <w:r w:rsidRPr="00CA29CF">
        <w:rPr>
          <w:rFonts w:ascii="Arial" w:hAnsi="Arial" w:cs="Arial"/>
          <w:sz w:val="20"/>
        </w:rPr>
        <w:t>На този етап</w:t>
      </w:r>
      <w:r w:rsidR="00EA4ADA" w:rsidRPr="00CA29CF">
        <w:rPr>
          <w:rFonts w:ascii="Arial" w:hAnsi="Arial" w:cs="Arial"/>
          <w:sz w:val="20"/>
        </w:rPr>
        <w:t xml:space="preserve"> не може да</w:t>
      </w:r>
      <w:r w:rsidRPr="00CA29CF">
        <w:rPr>
          <w:rFonts w:ascii="Arial" w:hAnsi="Arial" w:cs="Arial"/>
          <w:sz w:val="20"/>
        </w:rPr>
        <w:t xml:space="preserve"> се</w:t>
      </w:r>
      <w:r w:rsidR="00EA4ADA" w:rsidRPr="00CA29CF">
        <w:rPr>
          <w:rFonts w:ascii="Arial" w:hAnsi="Arial" w:cs="Arial"/>
          <w:sz w:val="20"/>
        </w:rPr>
        <w:t xml:space="preserve"> даде точна оценка и прогноза за ефекта на макроикономическата среда в края на 2023г. и през</w:t>
      </w:r>
      <w:r w:rsidR="0067669F">
        <w:rPr>
          <w:rFonts w:ascii="Arial" w:hAnsi="Arial" w:cs="Arial"/>
          <w:sz w:val="20"/>
        </w:rPr>
        <w:t xml:space="preserve"> второ</w:t>
      </w:r>
      <w:r w:rsidR="00F06B46">
        <w:rPr>
          <w:rFonts w:ascii="Arial" w:hAnsi="Arial" w:cs="Arial"/>
          <w:sz w:val="20"/>
        </w:rPr>
        <w:t xml:space="preserve"> тримесечие на</w:t>
      </w:r>
      <w:r w:rsidR="00EA4ADA" w:rsidRPr="00CA29CF">
        <w:rPr>
          <w:rFonts w:ascii="Arial" w:hAnsi="Arial" w:cs="Arial"/>
          <w:sz w:val="20"/>
        </w:rPr>
        <w:t xml:space="preserve"> 2024г. върху дружеството.</w:t>
      </w:r>
    </w:p>
    <w:p w14:paraId="14B47858" w14:textId="52199571" w:rsidR="00DF3F33" w:rsidRPr="00CA29CF" w:rsidRDefault="00DF3F33" w:rsidP="00DF3F33">
      <w:pPr>
        <w:rPr>
          <w:rFonts w:ascii="Arial" w:hAnsi="Arial" w:cs="Arial"/>
        </w:rPr>
      </w:pPr>
    </w:p>
    <w:p w14:paraId="35A39EA3" w14:textId="77777777" w:rsidR="00B66DF8" w:rsidRPr="00CA29CF" w:rsidRDefault="00B66DF8" w:rsidP="00B66DF8">
      <w:pPr>
        <w:pStyle w:val="Heading1"/>
        <w:spacing w:before="0"/>
        <w:rPr>
          <w:rFonts w:ascii="Arial" w:hAnsi="Arial" w:cs="Arial"/>
          <w:snapToGrid w:val="0"/>
          <w:sz w:val="20"/>
          <w:szCs w:val="20"/>
          <w:lang w:val="bg-BG"/>
        </w:rPr>
      </w:pPr>
      <w:bookmarkStart w:id="252" w:name="_Toc164268400"/>
      <w:r w:rsidRPr="00CA29CF">
        <w:rPr>
          <w:rFonts w:ascii="Arial" w:hAnsi="Arial" w:cs="Arial"/>
          <w:snapToGrid w:val="0"/>
          <w:sz w:val="20"/>
          <w:szCs w:val="20"/>
          <w:lang w:val="bg-BG"/>
        </w:rPr>
        <w:t>V. ФИНАНСОВИ ПОКАЗАТЕЛИ</w:t>
      </w:r>
      <w:bookmarkEnd w:id="252"/>
    </w:p>
    <w:p w14:paraId="6109984C" w14:textId="77777777" w:rsidR="00E5052A" w:rsidRPr="00B14C47" w:rsidRDefault="00B66DF8" w:rsidP="00B66DF8">
      <w:pPr>
        <w:rPr>
          <w:rFonts w:ascii="Arial" w:hAnsi="Arial" w:cs="Arial"/>
          <w:sz w:val="20"/>
        </w:rPr>
      </w:pPr>
      <w:bookmarkStart w:id="253" w:name="_Hlk512243767"/>
      <w:r w:rsidRPr="00B14C47">
        <w:rPr>
          <w:rFonts w:ascii="Arial" w:hAnsi="Arial" w:cs="Arial"/>
          <w:sz w:val="20"/>
        </w:rPr>
        <w:t>Въз основа на данните от</w:t>
      </w:r>
      <w:r w:rsidR="006100EF" w:rsidRPr="00B14C47">
        <w:rPr>
          <w:rFonts w:ascii="Arial" w:hAnsi="Arial" w:cs="Arial"/>
          <w:sz w:val="20"/>
        </w:rPr>
        <w:t xml:space="preserve"> индивидуалния финансов отчет</w:t>
      </w:r>
      <w:r w:rsidRPr="00B14C47">
        <w:rPr>
          <w:rFonts w:ascii="Arial" w:hAnsi="Arial" w:cs="Arial"/>
          <w:sz w:val="20"/>
        </w:rPr>
        <w:t xml:space="preserve"> на дружеството може да бъде извършен финансов анализ на следните показатели:</w:t>
      </w:r>
      <w:bookmarkEnd w:id="250"/>
      <w:bookmarkEnd w:id="253"/>
    </w:p>
    <w:p w14:paraId="654605E1" w14:textId="0A5121E7" w:rsidR="00AE2E84" w:rsidRDefault="00AE2E84" w:rsidP="00F06B46">
      <w:pPr>
        <w:rPr>
          <w:rFonts w:ascii="Arial" w:hAnsi="Arial" w:cs="Arial"/>
          <w:sz w:val="20"/>
        </w:rPr>
      </w:pPr>
    </w:p>
    <w:p w14:paraId="11DED14D" w14:textId="77777777" w:rsidR="00663CB5" w:rsidRPr="00B14C47" w:rsidRDefault="00663CB5">
      <w:pPr>
        <w:rPr>
          <w:rFonts w:ascii="Arial" w:hAnsi="Arial" w:cs="Arial"/>
          <w:sz w:val="20"/>
        </w:rPr>
      </w:pPr>
    </w:p>
    <w:tbl>
      <w:tblPr>
        <w:tblW w:w="9820" w:type="dxa"/>
        <w:tblInd w:w="65" w:type="dxa"/>
        <w:tblCellMar>
          <w:left w:w="70" w:type="dxa"/>
          <w:right w:w="70" w:type="dxa"/>
        </w:tblCellMar>
        <w:tblLook w:val="04A0" w:firstRow="1" w:lastRow="0" w:firstColumn="1" w:lastColumn="0" w:noHBand="0" w:noVBand="1"/>
      </w:tblPr>
      <w:tblGrid>
        <w:gridCol w:w="363"/>
        <w:gridCol w:w="3376"/>
        <w:gridCol w:w="1711"/>
        <w:gridCol w:w="1711"/>
        <w:gridCol w:w="1814"/>
        <w:gridCol w:w="899"/>
      </w:tblGrid>
      <w:tr w:rsidR="0067669F" w:rsidRPr="0067669F" w14:paraId="501DB260" w14:textId="77777777" w:rsidTr="0067669F">
        <w:trPr>
          <w:trHeight w:val="255"/>
        </w:trPr>
        <w:tc>
          <w:tcPr>
            <w:tcW w:w="9820" w:type="dxa"/>
            <w:gridSpan w:val="6"/>
            <w:tcBorders>
              <w:top w:val="single" w:sz="4" w:space="0" w:color="auto"/>
              <w:left w:val="single" w:sz="4" w:space="0" w:color="auto"/>
              <w:bottom w:val="single" w:sz="4" w:space="0" w:color="auto"/>
              <w:right w:val="single" w:sz="4" w:space="0" w:color="000000"/>
            </w:tcBorders>
            <w:shd w:val="clear" w:color="000000" w:fill="00AEEF"/>
            <w:noWrap/>
            <w:vAlign w:val="bottom"/>
            <w:hideMark/>
          </w:tcPr>
          <w:p w14:paraId="151134A7"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Показатели</w:t>
            </w:r>
          </w:p>
        </w:tc>
      </w:tr>
      <w:tr w:rsidR="0067669F" w:rsidRPr="0067669F" w14:paraId="04513391" w14:textId="77777777" w:rsidTr="0067669F">
        <w:trPr>
          <w:trHeight w:val="255"/>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0E033"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w:t>
            </w:r>
          </w:p>
        </w:tc>
        <w:tc>
          <w:tcPr>
            <w:tcW w:w="33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B5B768"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Показатели</w:t>
            </w:r>
          </w:p>
        </w:tc>
        <w:tc>
          <w:tcPr>
            <w:tcW w:w="1711" w:type="dxa"/>
            <w:tcBorders>
              <w:top w:val="nil"/>
              <w:left w:val="nil"/>
              <w:bottom w:val="single" w:sz="4" w:space="0" w:color="auto"/>
              <w:right w:val="single" w:sz="4" w:space="0" w:color="auto"/>
            </w:tcBorders>
            <w:shd w:val="clear" w:color="auto" w:fill="auto"/>
            <w:noWrap/>
            <w:vAlign w:val="center"/>
            <w:hideMark/>
          </w:tcPr>
          <w:p w14:paraId="1949D113"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2024 г.</w:t>
            </w:r>
          </w:p>
        </w:tc>
        <w:tc>
          <w:tcPr>
            <w:tcW w:w="1711" w:type="dxa"/>
            <w:tcBorders>
              <w:top w:val="nil"/>
              <w:left w:val="nil"/>
              <w:bottom w:val="single" w:sz="4" w:space="0" w:color="auto"/>
              <w:right w:val="single" w:sz="4" w:space="0" w:color="auto"/>
            </w:tcBorders>
            <w:shd w:val="clear" w:color="auto" w:fill="auto"/>
            <w:noWrap/>
            <w:vAlign w:val="center"/>
            <w:hideMark/>
          </w:tcPr>
          <w:p w14:paraId="3FE67389"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2023 г.</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EB1A00"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Разлика</w:t>
            </w:r>
          </w:p>
        </w:tc>
      </w:tr>
      <w:tr w:rsidR="0067669F" w:rsidRPr="0067669F" w14:paraId="25ABE3F6" w14:textId="77777777" w:rsidTr="0067669F">
        <w:trPr>
          <w:trHeight w:val="255"/>
        </w:trPr>
        <w:tc>
          <w:tcPr>
            <w:tcW w:w="309" w:type="dxa"/>
            <w:vMerge/>
            <w:tcBorders>
              <w:top w:val="nil"/>
              <w:left w:val="single" w:sz="4" w:space="0" w:color="auto"/>
              <w:bottom w:val="single" w:sz="4" w:space="0" w:color="auto"/>
              <w:right w:val="single" w:sz="4" w:space="0" w:color="auto"/>
            </w:tcBorders>
            <w:vAlign w:val="center"/>
            <w:hideMark/>
          </w:tcPr>
          <w:p w14:paraId="3A33F2AE" w14:textId="77777777" w:rsidR="0067669F" w:rsidRPr="0067669F" w:rsidRDefault="0067669F" w:rsidP="0067669F">
            <w:pPr>
              <w:jc w:val="left"/>
              <w:rPr>
                <w:rFonts w:ascii="Arial" w:hAnsi="Arial" w:cs="Arial"/>
                <w:b/>
                <w:bCs/>
                <w:sz w:val="20"/>
                <w:lang w:eastAsia="bg-BG"/>
              </w:rPr>
            </w:pPr>
          </w:p>
        </w:tc>
        <w:tc>
          <w:tcPr>
            <w:tcW w:w="3376" w:type="dxa"/>
            <w:vMerge/>
            <w:tcBorders>
              <w:top w:val="nil"/>
              <w:left w:val="single" w:sz="4" w:space="0" w:color="auto"/>
              <w:bottom w:val="single" w:sz="4" w:space="0" w:color="000000"/>
              <w:right w:val="single" w:sz="4" w:space="0" w:color="auto"/>
            </w:tcBorders>
            <w:vAlign w:val="center"/>
            <w:hideMark/>
          </w:tcPr>
          <w:p w14:paraId="75F1CF1B" w14:textId="77777777" w:rsidR="0067669F" w:rsidRPr="0067669F" w:rsidRDefault="0067669F" w:rsidP="0067669F">
            <w:pPr>
              <w:jc w:val="left"/>
              <w:rPr>
                <w:rFonts w:ascii="Arial" w:hAnsi="Arial" w:cs="Arial"/>
                <w:b/>
                <w:bCs/>
                <w:sz w:val="20"/>
                <w:lang w:eastAsia="bg-BG"/>
              </w:rPr>
            </w:pPr>
          </w:p>
        </w:tc>
        <w:tc>
          <w:tcPr>
            <w:tcW w:w="1711" w:type="dxa"/>
            <w:tcBorders>
              <w:top w:val="nil"/>
              <w:left w:val="nil"/>
              <w:bottom w:val="single" w:sz="4" w:space="0" w:color="auto"/>
              <w:right w:val="single" w:sz="4" w:space="0" w:color="auto"/>
            </w:tcBorders>
            <w:shd w:val="clear" w:color="auto" w:fill="auto"/>
            <w:noWrap/>
            <w:vAlign w:val="center"/>
            <w:hideMark/>
          </w:tcPr>
          <w:p w14:paraId="58A32D1A"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Стойност</w:t>
            </w:r>
          </w:p>
        </w:tc>
        <w:tc>
          <w:tcPr>
            <w:tcW w:w="1711" w:type="dxa"/>
            <w:tcBorders>
              <w:top w:val="nil"/>
              <w:left w:val="nil"/>
              <w:bottom w:val="single" w:sz="4" w:space="0" w:color="auto"/>
              <w:right w:val="single" w:sz="4" w:space="0" w:color="auto"/>
            </w:tcBorders>
            <w:shd w:val="clear" w:color="auto" w:fill="auto"/>
            <w:noWrap/>
            <w:vAlign w:val="center"/>
            <w:hideMark/>
          </w:tcPr>
          <w:p w14:paraId="070626AD"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Стойност</w:t>
            </w:r>
          </w:p>
        </w:tc>
        <w:tc>
          <w:tcPr>
            <w:tcW w:w="1814" w:type="dxa"/>
            <w:tcBorders>
              <w:top w:val="nil"/>
              <w:left w:val="nil"/>
              <w:bottom w:val="single" w:sz="4" w:space="0" w:color="auto"/>
              <w:right w:val="single" w:sz="4" w:space="0" w:color="auto"/>
            </w:tcBorders>
            <w:shd w:val="clear" w:color="auto" w:fill="auto"/>
            <w:noWrap/>
            <w:vAlign w:val="center"/>
            <w:hideMark/>
          </w:tcPr>
          <w:p w14:paraId="1206615D"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Стойност</w:t>
            </w:r>
          </w:p>
        </w:tc>
        <w:tc>
          <w:tcPr>
            <w:tcW w:w="899" w:type="dxa"/>
            <w:tcBorders>
              <w:top w:val="nil"/>
              <w:left w:val="nil"/>
              <w:bottom w:val="single" w:sz="4" w:space="0" w:color="auto"/>
              <w:right w:val="single" w:sz="4" w:space="0" w:color="auto"/>
            </w:tcBorders>
            <w:shd w:val="clear" w:color="auto" w:fill="auto"/>
            <w:noWrap/>
            <w:vAlign w:val="center"/>
            <w:hideMark/>
          </w:tcPr>
          <w:p w14:paraId="19D1EE33"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w:t>
            </w:r>
          </w:p>
        </w:tc>
      </w:tr>
      <w:tr w:rsidR="0067669F" w:rsidRPr="0067669F" w14:paraId="080E2CD5"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4E550824"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1</w:t>
            </w:r>
          </w:p>
        </w:tc>
        <w:tc>
          <w:tcPr>
            <w:tcW w:w="3376" w:type="dxa"/>
            <w:tcBorders>
              <w:top w:val="nil"/>
              <w:left w:val="nil"/>
              <w:bottom w:val="single" w:sz="4" w:space="0" w:color="auto"/>
              <w:right w:val="nil"/>
            </w:tcBorders>
            <w:shd w:val="clear" w:color="auto" w:fill="auto"/>
            <w:noWrap/>
            <w:vAlign w:val="bottom"/>
            <w:hideMark/>
          </w:tcPr>
          <w:p w14:paraId="2F263AA0"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Нетекущи активи </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68A3D507"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3 </w:t>
            </w:r>
          </w:p>
        </w:tc>
        <w:tc>
          <w:tcPr>
            <w:tcW w:w="1711" w:type="dxa"/>
            <w:tcBorders>
              <w:top w:val="nil"/>
              <w:left w:val="nil"/>
              <w:bottom w:val="single" w:sz="4" w:space="0" w:color="auto"/>
              <w:right w:val="single" w:sz="4" w:space="0" w:color="auto"/>
            </w:tcBorders>
            <w:shd w:val="clear" w:color="auto" w:fill="auto"/>
            <w:noWrap/>
            <w:vAlign w:val="bottom"/>
            <w:hideMark/>
          </w:tcPr>
          <w:p w14:paraId="703063A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3 </w:t>
            </w:r>
          </w:p>
        </w:tc>
        <w:tc>
          <w:tcPr>
            <w:tcW w:w="1814" w:type="dxa"/>
            <w:tcBorders>
              <w:top w:val="nil"/>
              <w:left w:val="nil"/>
              <w:bottom w:val="single" w:sz="4" w:space="0" w:color="auto"/>
              <w:right w:val="single" w:sz="4" w:space="0" w:color="auto"/>
            </w:tcBorders>
            <w:shd w:val="clear" w:color="auto" w:fill="auto"/>
            <w:noWrap/>
            <w:vAlign w:val="bottom"/>
            <w:hideMark/>
          </w:tcPr>
          <w:p w14:paraId="0B6AFB85"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   </w:t>
            </w:r>
          </w:p>
        </w:tc>
        <w:tc>
          <w:tcPr>
            <w:tcW w:w="899" w:type="dxa"/>
            <w:tcBorders>
              <w:top w:val="nil"/>
              <w:left w:val="nil"/>
              <w:bottom w:val="single" w:sz="4" w:space="0" w:color="auto"/>
              <w:right w:val="single" w:sz="4" w:space="0" w:color="auto"/>
            </w:tcBorders>
            <w:shd w:val="clear" w:color="auto" w:fill="auto"/>
            <w:noWrap/>
            <w:vAlign w:val="bottom"/>
            <w:hideMark/>
          </w:tcPr>
          <w:p w14:paraId="223FE3AD"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0%</w:t>
            </w:r>
          </w:p>
        </w:tc>
      </w:tr>
      <w:tr w:rsidR="0067669F" w:rsidRPr="0067669F" w14:paraId="775D9124"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22DA97B6"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2</w:t>
            </w:r>
          </w:p>
        </w:tc>
        <w:tc>
          <w:tcPr>
            <w:tcW w:w="3376" w:type="dxa"/>
            <w:tcBorders>
              <w:top w:val="nil"/>
              <w:left w:val="nil"/>
              <w:bottom w:val="single" w:sz="4" w:space="0" w:color="auto"/>
              <w:right w:val="nil"/>
            </w:tcBorders>
            <w:shd w:val="clear" w:color="auto" w:fill="auto"/>
            <w:noWrap/>
            <w:vAlign w:val="bottom"/>
            <w:hideMark/>
          </w:tcPr>
          <w:p w14:paraId="36FADAAA" w14:textId="77777777" w:rsidR="0067669F" w:rsidRPr="0067669F" w:rsidRDefault="0067669F" w:rsidP="0067669F">
            <w:pPr>
              <w:jc w:val="left"/>
              <w:rPr>
                <w:rFonts w:ascii="Arial" w:hAnsi="Arial" w:cs="Arial"/>
                <w:b/>
                <w:bCs/>
                <w:sz w:val="20"/>
                <w:lang w:eastAsia="bg-BG"/>
              </w:rPr>
            </w:pPr>
            <w:r w:rsidRPr="0067669F">
              <w:rPr>
                <w:rFonts w:ascii="Arial" w:hAnsi="Arial" w:cs="Arial"/>
                <w:b/>
                <w:bCs/>
                <w:sz w:val="20"/>
                <w:lang w:eastAsia="bg-BG"/>
              </w:rPr>
              <w:t>Текущи активи, в т.ч.:</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50A3726A" w14:textId="77777777" w:rsidR="0067669F" w:rsidRPr="0067669F" w:rsidRDefault="0067669F" w:rsidP="0067669F">
            <w:pPr>
              <w:jc w:val="left"/>
              <w:rPr>
                <w:rFonts w:ascii="Arial" w:hAnsi="Arial" w:cs="Arial"/>
                <w:b/>
                <w:bCs/>
                <w:sz w:val="20"/>
                <w:lang w:eastAsia="bg-BG"/>
              </w:rPr>
            </w:pPr>
            <w:r w:rsidRPr="0067669F">
              <w:rPr>
                <w:rFonts w:ascii="Arial" w:hAnsi="Arial" w:cs="Arial"/>
                <w:b/>
                <w:bCs/>
                <w:sz w:val="20"/>
                <w:lang w:eastAsia="bg-BG"/>
              </w:rPr>
              <w:t xml:space="preserve">            10 146 </w:t>
            </w:r>
          </w:p>
        </w:tc>
        <w:tc>
          <w:tcPr>
            <w:tcW w:w="1711" w:type="dxa"/>
            <w:tcBorders>
              <w:top w:val="nil"/>
              <w:left w:val="nil"/>
              <w:bottom w:val="single" w:sz="4" w:space="0" w:color="auto"/>
              <w:right w:val="single" w:sz="4" w:space="0" w:color="auto"/>
            </w:tcBorders>
            <w:shd w:val="clear" w:color="auto" w:fill="auto"/>
            <w:noWrap/>
            <w:vAlign w:val="bottom"/>
            <w:hideMark/>
          </w:tcPr>
          <w:p w14:paraId="2969315D" w14:textId="77777777" w:rsidR="0067669F" w:rsidRPr="0067669F" w:rsidRDefault="0067669F" w:rsidP="0067669F">
            <w:pPr>
              <w:jc w:val="left"/>
              <w:rPr>
                <w:rFonts w:ascii="Arial" w:hAnsi="Arial" w:cs="Arial"/>
                <w:b/>
                <w:bCs/>
                <w:sz w:val="20"/>
                <w:lang w:eastAsia="bg-BG"/>
              </w:rPr>
            </w:pPr>
            <w:r w:rsidRPr="0067669F">
              <w:rPr>
                <w:rFonts w:ascii="Arial" w:hAnsi="Arial" w:cs="Arial"/>
                <w:b/>
                <w:bCs/>
                <w:sz w:val="20"/>
                <w:lang w:eastAsia="bg-BG"/>
              </w:rPr>
              <w:t xml:space="preserve">            10 066 </w:t>
            </w:r>
          </w:p>
        </w:tc>
        <w:tc>
          <w:tcPr>
            <w:tcW w:w="1814" w:type="dxa"/>
            <w:tcBorders>
              <w:top w:val="nil"/>
              <w:left w:val="nil"/>
              <w:bottom w:val="single" w:sz="4" w:space="0" w:color="auto"/>
              <w:right w:val="single" w:sz="4" w:space="0" w:color="auto"/>
            </w:tcBorders>
            <w:shd w:val="clear" w:color="auto" w:fill="auto"/>
            <w:noWrap/>
            <w:vAlign w:val="bottom"/>
            <w:hideMark/>
          </w:tcPr>
          <w:p w14:paraId="439782FE" w14:textId="77777777" w:rsidR="0067669F" w:rsidRPr="0067669F" w:rsidRDefault="0067669F" w:rsidP="0067669F">
            <w:pPr>
              <w:jc w:val="left"/>
              <w:rPr>
                <w:rFonts w:ascii="Arial" w:hAnsi="Arial" w:cs="Arial"/>
                <w:b/>
                <w:bCs/>
                <w:sz w:val="20"/>
                <w:lang w:eastAsia="bg-BG"/>
              </w:rPr>
            </w:pPr>
            <w:r w:rsidRPr="0067669F">
              <w:rPr>
                <w:rFonts w:ascii="Arial" w:hAnsi="Arial" w:cs="Arial"/>
                <w:b/>
                <w:bCs/>
                <w:sz w:val="20"/>
                <w:lang w:eastAsia="bg-BG"/>
              </w:rPr>
              <w:t xml:space="preserve">                  80 </w:t>
            </w:r>
          </w:p>
        </w:tc>
        <w:tc>
          <w:tcPr>
            <w:tcW w:w="899" w:type="dxa"/>
            <w:tcBorders>
              <w:top w:val="nil"/>
              <w:left w:val="nil"/>
              <w:bottom w:val="single" w:sz="4" w:space="0" w:color="auto"/>
              <w:right w:val="single" w:sz="4" w:space="0" w:color="auto"/>
            </w:tcBorders>
            <w:shd w:val="clear" w:color="auto" w:fill="auto"/>
            <w:noWrap/>
            <w:vAlign w:val="bottom"/>
            <w:hideMark/>
          </w:tcPr>
          <w:p w14:paraId="26892BAF"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1%</w:t>
            </w:r>
          </w:p>
        </w:tc>
      </w:tr>
      <w:tr w:rsidR="0067669F" w:rsidRPr="0067669F" w14:paraId="1F4B220F"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5B961799"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3</w:t>
            </w:r>
          </w:p>
        </w:tc>
        <w:tc>
          <w:tcPr>
            <w:tcW w:w="3376" w:type="dxa"/>
            <w:tcBorders>
              <w:top w:val="nil"/>
              <w:left w:val="nil"/>
              <w:bottom w:val="single" w:sz="4" w:space="0" w:color="auto"/>
              <w:right w:val="nil"/>
            </w:tcBorders>
            <w:shd w:val="clear" w:color="auto" w:fill="auto"/>
            <w:noWrap/>
            <w:vAlign w:val="bottom"/>
            <w:hideMark/>
          </w:tcPr>
          <w:p w14:paraId="28143CCC"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Текущи финансови активи</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2B6D2D63"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10 143 </w:t>
            </w:r>
          </w:p>
        </w:tc>
        <w:tc>
          <w:tcPr>
            <w:tcW w:w="1711" w:type="dxa"/>
            <w:tcBorders>
              <w:top w:val="nil"/>
              <w:left w:val="nil"/>
              <w:bottom w:val="single" w:sz="4" w:space="0" w:color="auto"/>
              <w:right w:val="single" w:sz="4" w:space="0" w:color="auto"/>
            </w:tcBorders>
            <w:shd w:val="clear" w:color="auto" w:fill="auto"/>
            <w:noWrap/>
            <w:vAlign w:val="bottom"/>
            <w:hideMark/>
          </w:tcPr>
          <w:p w14:paraId="1672E930"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10 066 </w:t>
            </w:r>
          </w:p>
        </w:tc>
        <w:tc>
          <w:tcPr>
            <w:tcW w:w="1814" w:type="dxa"/>
            <w:tcBorders>
              <w:top w:val="nil"/>
              <w:left w:val="nil"/>
              <w:bottom w:val="single" w:sz="4" w:space="0" w:color="auto"/>
              <w:right w:val="single" w:sz="4" w:space="0" w:color="auto"/>
            </w:tcBorders>
            <w:shd w:val="clear" w:color="auto" w:fill="auto"/>
            <w:noWrap/>
            <w:vAlign w:val="bottom"/>
            <w:hideMark/>
          </w:tcPr>
          <w:p w14:paraId="51688F15"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77 </w:t>
            </w:r>
          </w:p>
        </w:tc>
        <w:tc>
          <w:tcPr>
            <w:tcW w:w="899" w:type="dxa"/>
            <w:tcBorders>
              <w:top w:val="nil"/>
              <w:left w:val="nil"/>
              <w:bottom w:val="single" w:sz="4" w:space="0" w:color="auto"/>
              <w:right w:val="single" w:sz="4" w:space="0" w:color="auto"/>
            </w:tcBorders>
            <w:shd w:val="clear" w:color="auto" w:fill="auto"/>
            <w:noWrap/>
            <w:vAlign w:val="bottom"/>
            <w:hideMark/>
          </w:tcPr>
          <w:p w14:paraId="3345FEC2"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1%</w:t>
            </w:r>
          </w:p>
        </w:tc>
      </w:tr>
      <w:tr w:rsidR="0067669F" w:rsidRPr="0067669F" w14:paraId="20D8B8BD"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20665B2A"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4</w:t>
            </w:r>
          </w:p>
        </w:tc>
        <w:tc>
          <w:tcPr>
            <w:tcW w:w="3376" w:type="dxa"/>
            <w:tcBorders>
              <w:top w:val="nil"/>
              <w:left w:val="nil"/>
              <w:bottom w:val="single" w:sz="4" w:space="0" w:color="auto"/>
              <w:right w:val="nil"/>
            </w:tcBorders>
            <w:shd w:val="clear" w:color="auto" w:fill="auto"/>
            <w:noWrap/>
            <w:vAlign w:val="bottom"/>
            <w:hideMark/>
          </w:tcPr>
          <w:p w14:paraId="11C41933"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Парични средства</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2B07832F"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3 </w:t>
            </w:r>
          </w:p>
        </w:tc>
        <w:tc>
          <w:tcPr>
            <w:tcW w:w="1711" w:type="dxa"/>
            <w:tcBorders>
              <w:top w:val="nil"/>
              <w:left w:val="nil"/>
              <w:bottom w:val="single" w:sz="4" w:space="0" w:color="auto"/>
              <w:right w:val="single" w:sz="4" w:space="0" w:color="auto"/>
            </w:tcBorders>
            <w:shd w:val="clear" w:color="auto" w:fill="auto"/>
            <w:noWrap/>
            <w:vAlign w:val="bottom"/>
            <w:hideMark/>
          </w:tcPr>
          <w:p w14:paraId="5A406AC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   </w:t>
            </w:r>
          </w:p>
        </w:tc>
        <w:tc>
          <w:tcPr>
            <w:tcW w:w="1814" w:type="dxa"/>
            <w:tcBorders>
              <w:top w:val="nil"/>
              <w:left w:val="nil"/>
              <w:bottom w:val="single" w:sz="4" w:space="0" w:color="auto"/>
              <w:right w:val="single" w:sz="4" w:space="0" w:color="auto"/>
            </w:tcBorders>
            <w:shd w:val="clear" w:color="auto" w:fill="auto"/>
            <w:noWrap/>
            <w:vAlign w:val="bottom"/>
            <w:hideMark/>
          </w:tcPr>
          <w:p w14:paraId="744C4F4B"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3 </w:t>
            </w:r>
          </w:p>
        </w:tc>
        <w:tc>
          <w:tcPr>
            <w:tcW w:w="899" w:type="dxa"/>
            <w:tcBorders>
              <w:top w:val="nil"/>
              <w:left w:val="nil"/>
              <w:bottom w:val="single" w:sz="4" w:space="0" w:color="auto"/>
              <w:right w:val="single" w:sz="4" w:space="0" w:color="auto"/>
            </w:tcBorders>
            <w:shd w:val="clear" w:color="auto" w:fill="auto"/>
            <w:noWrap/>
            <w:vAlign w:val="bottom"/>
            <w:hideMark/>
          </w:tcPr>
          <w:p w14:paraId="2E8AE0A4"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#DIV/0!</w:t>
            </w:r>
          </w:p>
        </w:tc>
      </w:tr>
      <w:tr w:rsidR="0067669F" w:rsidRPr="0067669F" w14:paraId="5EBC5D25"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3533F73D"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5</w:t>
            </w:r>
          </w:p>
        </w:tc>
        <w:tc>
          <w:tcPr>
            <w:tcW w:w="3376" w:type="dxa"/>
            <w:tcBorders>
              <w:top w:val="nil"/>
              <w:left w:val="nil"/>
              <w:bottom w:val="single" w:sz="4" w:space="0" w:color="auto"/>
              <w:right w:val="nil"/>
            </w:tcBorders>
            <w:shd w:val="clear" w:color="auto" w:fill="auto"/>
            <w:noWrap/>
            <w:vAlign w:val="bottom"/>
            <w:hideMark/>
          </w:tcPr>
          <w:p w14:paraId="25A0AB10"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Обща сума на активите</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1FCF5EBB"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10 149 </w:t>
            </w:r>
          </w:p>
        </w:tc>
        <w:tc>
          <w:tcPr>
            <w:tcW w:w="1711" w:type="dxa"/>
            <w:tcBorders>
              <w:top w:val="nil"/>
              <w:left w:val="nil"/>
              <w:bottom w:val="single" w:sz="4" w:space="0" w:color="auto"/>
              <w:right w:val="single" w:sz="4" w:space="0" w:color="auto"/>
            </w:tcBorders>
            <w:shd w:val="clear" w:color="auto" w:fill="auto"/>
            <w:noWrap/>
            <w:vAlign w:val="bottom"/>
            <w:hideMark/>
          </w:tcPr>
          <w:p w14:paraId="7171DE35"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10 069 </w:t>
            </w:r>
          </w:p>
        </w:tc>
        <w:tc>
          <w:tcPr>
            <w:tcW w:w="1814" w:type="dxa"/>
            <w:tcBorders>
              <w:top w:val="nil"/>
              <w:left w:val="nil"/>
              <w:bottom w:val="single" w:sz="4" w:space="0" w:color="auto"/>
              <w:right w:val="single" w:sz="4" w:space="0" w:color="auto"/>
            </w:tcBorders>
            <w:shd w:val="clear" w:color="auto" w:fill="auto"/>
            <w:noWrap/>
            <w:vAlign w:val="bottom"/>
            <w:hideMark/>
          </w:tcPr>
          <w:p w14:paraId="386692E3"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80 </w:t>
            </w:r>
          </w:p>
        </w:tc>
        <w:tc>
          <w:tcPr>
            <w:tcW w:w="899" w:type="dxa"/>
            <w:tcBorders>
              <w:top w:val="nil"/>
              <w:left w:val="nil"/>
              <w:bottom w:val="single" w:sz="4" w:space="0" w:color="auto"/>
              <w:right w:val="single" w:sz="4" w:space="0" w:color="auto"/>
            </w:tcBorders>
            <w:shd w:val="clear" w:color="auto" w:fill="auto"/>
            <w:noWrap/>
            <w:vAlign w:val="bottom"/>
            <w:hideMark/>
          </w:tcPr>
          <w:p w14:paraId="521DDD37"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1%</w:t>
            </w:r>
          </w:p>
        </w:tc>
      </w:tr>
      <w:tr w:rsidR="0067669F" w:rsidRPr="0067669F" w14:paraId="6E44D366"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7B4E504B"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6</w:t>
            </w:r>
          </w:p>
        </w:tc>
        <w:tc>
          <w:tcPr>
            <w:tcW w:w="3376" w:type="dxa"/>
            <w:tcBorders>
              <w:top w:val="nil"/>
              <w:left w:val="nil"/>
              <w:bottom w:val="single" w:sz="4" w:space="0" w:color="auto"/>
              <w:right w:val="nil"/>
            </w:tcBorders>
            <w:shd w:val="clear" w:color="auto" w:fill="auto"/>
            <w:noWrap/>
            <w:vAlign w:val="bottom"/>
            <w:hideMark/>
          </w:tcPr>
          <w:p w14:paraId="066B571E"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Собствен капитал</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5EF9D5C4"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9 915 </w:t>
            </w:r>
          </w:p>
        </w:tc>
        <w:tc>
          <w:tcPr>
            <w:tcW w:w="1711" w:type="dxa"/>
            <w:tcBorders>
              <w:top w:val="nil"/>
              <w:left w:val="nil"/>
              <w:bottom w:val="single" w:sz="4" w:space="0" w:color="auto"/>
              <w:right w:val="single" w:sz="4" w:space="0" w:color="auto"/>
            </w:tcBorders>
            <w:shd w:val="clear" w:color="auto" w:fill="auto"/>
            <w:noWrap/>
            <w:vAlign w:val="bottom"/>
            <w:hideMark/>
          </w:tcPr>
          <w:p w14:paraId="318A9F10"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9 847 </w:t>
            </w:r>
          </w:p>
        </w:tc>
        <w:tc>
          <w:tcPr>
            <w:tcW w:w="1814" w:type="dxa"/>
            <w:tcBorders>
              <w:top w:val="nil"/>
              <w:left w:val="nil"/>
              <w:bottom w:val="single" w:sz="4" w:space="0" w:color="auto"/>
              <w:right w:val="single" w:sz="4" w:space="0" w:color="auto"/>
            </w:tcBorders>
            <w:shd w:val="clear" w:color="auto" w:fill="auto"/>
            <w:noWrap/>
            <w:vAlign w:val="bottom"/>
            <w:hideMark/>
          </w:tcPr>
          <w:p w14:paraId="2E05010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68 </w:t>
            </w:r>
          </w:p>
        </w:tc>
        <w:tc>
          <w:tcPr>
            <w:tcW w:w="899" w:type="dxa"/>
            <w:tcBorders>
              <w:top w:val="nil"/>
              <w:left w:val="nil"/>
              <w:bottom w:val="single" w:sz="4" w:space="0" w:color="auto"/>
              <w:right w:val="single" w:sz="4" w:space="0" w:color="auto"/>
            </w:tcBorders>
            <w:shd w:val="clear" w:color="auto" w:fill="auto"/>
            <w:noWrap/>
            <w:vAlign w:val="bottom"/>
            <w:hideMark/>
          </w:tcPr>
          <w:p w14:paraId="11045530"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1%</w:t>
            </w:r>
          </w:p>
        </w:tc>
      </w:tr>
      <w:tr w:rsidR="0067669F" w:rsidRPr="0067669F" w14:paraId="6C181BB8"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616EDC66"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7</w:t>
            </w:r>
          </w:p>
        </w:tc>
        <w:tc>
          <w:tcPr>
            <w:tcW w:w="3376" w:type="dxa"/>
            <w:tcBorders>
              <w:top w:val="nil"/>
              <w:left w:val="nil"/>
              <w:bottom w:val="single" w:sz="4" w:space="0" w:color="auto"/>
              <w:right w:val="nil"/>
            </w:tcBorders>
            <w:shd w:val="clear" w:color="auto" w:fill="auto"/>
            <w:noWrap/>
            <w:vAlign w:val="bottom"/>
            <w:hideMark/>
          </w:tcPr>
          <w:p w14:paraId="750A281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Финансов резултат</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21B00D69"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68 </w:t>
            </w:r>
          </w:p>
        </w:tc>
        <w:tc>
          <w:tcPr>
            <w:tcW w:w="1711" w:type="dxa"/>
            <w:tcBorders>
              <w:top w:val="nil"/>
              <w:left w:val="nil"/>
              <w:bottom w:val="single" w:sz="4" w:space="0" w:color="auto"/>
              <w:right w:val="single" w:sz="4" w:space="0" w:color="auto"/>
            </w:tcBorders>
            <w:shd w:val="clear" w:color="auto" w:fill="auto"/>
            <w:noWrap/>
            <w:vAlign w:val="bottom"/>
            <w:hideMark/>
          </w:tcPr>
          <w:p w14:paraId="79FF4B16"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99 </w:t>
            </w:r>
          </w:p>
        </w:tc>
        <w:tc>
          <w:tcPr>
            <w:tcW w:w="1814" w:type="dxa"/>
            <w:tcBorders>
              <w:top w:val="nil"/>
              <w:left w:val="nil"/>
              <w:bottom w:val="single" w:sz="4" w:space="0" w:color="auto"/>
              <w:right w:val="single" w:sz="4" w:space="0" w:color="auto"/>
            </w:tcBorders>
            <w:shd w:val="clear" w:color="auto" w:fill="auto"/>
            <w:noWrap/>
            <w:vAlign w:val="bottom"/>
            <w:hideMark/>
          </w:tcPr>
          <w:p w14:paraId="51F071F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(31)</w:t>
            </w:r>
          </w:p>
        </w:tc>
        <w:tc>
          <w:tcPr>
            <w:tcW w:w="899" w:type="dxa"/>
            <w:tcBorders>
              <w:top w:val="nil"/>
              <w:left w:val="nil"/>
              <w:bottom w:val="single" w:sz="4" w:space="0" w:color="auto"/>
              <w:right w:val="single" w:sz="4" w:space="0" w:color="auto"/>
            </w:tcBorders>
            <w:shd w:val="clear" w:color="auto" w:fill="auto"/>
            <w:noWrap/>
            <w:vAlign w:val="bottom"/>
            <w:hideMark/>
          </w:tcPr>
          <w:p w14:paraId="10501A92"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-31%</w:t>
            </w:r>
          </w:p>
        </w:tc>
      </w:tr>
      <w:tr w:rsidR="0067669F" w:rsidRPr="0067669F" w14:paraId="5146B5C0"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73EC4306"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8</w:t>
            </w:r>
          </w:p>
        </w:tc>
        <w:tc>
          <w:tcPr>
            <w:tcW w:w="3376" w:type="dxa"/>
            <w:tcBorders>
              <w:top w:val="nil"/>
              <w:left w:val="nil"/>
              <w:bottom w:val="single" w:sz="4" w:space="0" w:color="auto"/>
              <w:right w:val="nil"/>
            </w:tcBorders>
            <w:shd w:val="clear" w:color="auto" w:fill="auto"/>
            <w:noWrap/>
            <w:vAlign w:val="bottom"/>
            <w:hideMark/>
          </w:tcPr>
          <w:p w14:paraId="49D42DA6"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Текущи пасиви</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6BE8058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234 </w:t>
            </w:r>
          </w:p>
        </w:tc>
        <w:tc>
          <w:tcPr>
            <w:tcW w:w="1711" w:type="dxa"/>
            <w:tcBorders>
              <w:top w:val="nil"/>
              <w:left w:val="nil"/>
              <w:bottom w:val="single" w:sz="4" w:space="0" w:color="auto"/>
              <w:right w:val="single" w:sz="4" w:space="0" w:color="auto"/>
            </w:tcBorders>
            <w:shd w:val="clear" w:color="auto" w:fill="auto"/>
            <w:noWrap/>
            <w:vAlign w:val="bottom"/>
            <w:hideMark/>
          </w:tcPr>
          <w:p w14:paraId="3F281BA7"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222 </w:t>
            </w:r>
          </w:p>
        </w:tc>
        <w:tc>
          <w:tcPr>
            <w:tcW w:w="1814" w:type="dxa"/>
            <w:tcBorders>
              <w:top w:val="nil"/>
              <w:left w:val="nil"/>
              <w:bottom w:val="single" w:sz="4" w:space="0" w:color="auto"/>
              <w:right w:val="single" w:sz="4" w:space="0" w:color="auto"/>
            </w:tcBorders>
            <w:shd w:val="clear" w:color="auto" w:fill="auto"/>
            <w:noWrap/>
            <w:vAlign w:val="bottom"/>
            <w:hideMark/>
          </w:tcPr>
          <w:p w14:paraId="00B99DD4"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12 </w:t>
            </w:r>
          </w:p>
        </w:tc>
        <w:tc>
          <w:tcPr>
            <w:tcW w:w="899" w:type="dxa"/>
            <w:tcBorders>
              <w:top w:val="nil"/>
              <w:left w:val="nil"/>
              <w:bottom w:val="single" w:sz="4" w:space="0" w:color="auto"/>
              <w:right w:val="single" w:sz="4" w:space="0" w:color="auto"/>
            </w:tcBorders>
            <w:shd w:val="clear" w:color="auto" w:fill="auto"/>
            <w:noWrap/>
            <w:vAlign w:val="bottom"/>
            <w:hideMark/>
          </w:tcPr>
          <w:p w14:paraId="6BE87E6B"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5%</w:t>
            </w:r>
          </w:p>
        </w:tc>
      </w:tr>
      <w:tr w:rsidR="0067669F" w:rsidRPr="0067669F" w14:paraId="5E06EEC4"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20B754E7"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9</w:t>
            </w:r>
          </w:p>
        </w:tc>
        <w:tc>
          <w:tcPr>
            <w:tcW w:w="3376" w:type="dxa"/>
            <w:tcBorders>
              <w:top w:val="nil"/>
              <w:left w:val="nil"/>
              <w:bottom w:val="single" w:sz="4" w:space="0" w:color="auto"/>
              <w:right w:val="nil"/>
            </w:tcBorders>
            <w:shd w:val="clear" w:color="auto" w:fill="auto"/>
            <w:noWrap/>
            <w:vAlign w:val="bottom"/>
            <w:hideMark/>
          </w:tcPr>
          <w:p w14:paraId="3440E6B4"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Обща сума на пасивите</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38DF577D"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234 </w:t>
            </w:r>
          </w:p>
        </w:tc>
        <w:tc>
          <w:tcPr>
            <w:tcW w:w="1711" w:type="dxa"/>
            <w:tcBorders>
              <w:top w:val="nil"/>
              <w:left w:val="nil"/>
              <w:bottom w:val="single" w:sz="4" w:space="0" w:color="auto"/>
              <w:right w:val="single" w:sz="4" w:space="0" w:color="auto"/>
            </w:tcBorders>
            <w:shd w:val="clear" w:color="auto" w:fill="auto"/>
            <w:noWrap/>
            <w:vAlign w:val="bottom"/>
            <w:hideMark/>
          </w:tcPr>
          <w:p w14:paraId="6B2C36EA"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222 </w:t>
            </w:r>
          </w:p>
        </w:tc>
        <w:tc>
          <w:tcPr>
            <w:tcW w:w="1814" w:type="dxa"/>
            <w:tcBorders>
              <w:top w:val="nil"/>
              <w:left w:val="nil"/>
              <w:bottom w:val="single" w:sz="4" w:space="0" w:color="auto"/>
              <w:right w:val="single" w:sz="4" w:space="0" w:color="auto"/>
            </w:tcBorders>
            <w:shd w:val="clear" w:color="auto" w:fill="auto"/>
            <w:noWrap/>
            <w:vAlign w:val="bottom"/>
            <w:hideMark/>
          </w:tcPr>
          <w:p w14:paraId="1A43AD6A"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12 </w:t>
            </w:r>
          </w:p>
        </w:tc>
        <w:tc>
          <w:tcPr>
            <w:tcW w:w="899" w:type="dxa"/>
            <w:tcBorders>
              <w:top w:val="nil"/>
              <w:left w:val="nil"/>
              <w:bottom w:val="single" w:sz="4" w:space="0" w:color="auto"/>
              <w:right w:val="single" w:sz="4" w:space="0" w:color="auto"/>
            </w:tcBorders>
            <w:shd w:val="clear" w:color="auto" w:fill="auto"/>
            <w:noWrap/>
            <w:vAlign w:val="bottom"/>
            <w:hideMark/>
          </w:tcPr>
          <w:p w14:paraId="31607F78"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5%</w:t>
            </w:r>
          </w:p>
        </w:tc>
      </w:tr>
      <w:tr w:rsidR="0067669F" w:rsidRPr="0067669F" w14:paraId="3F538036"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4B02BCAE"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10</w:t>
            </w:r>
          </w:p>
        </w:tc>
        <w:tc>
          <w:tcPr>
            <w:tcW w:w="3376" w:type="dxa"/>
            <w:tcBorders>
              <w:top w:val="nil"/>
              <w:left w:val="nil"/>
              <w:bottom w:val="single" w:sz="4" w:space="0" w:color="auto"/>
              <w:right w:val="nil"/>
            </w:tcBorders>
            <w:shd w:val="clear" w:color="auto" w:fill="auto"/>
            <w:noWrap/>
            <w:vAlign w:val="bottom"/>
            <w:hideMark/>
          </w:tcPr>
          <w:p w14:paraId="430D332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Приходи общо</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6C6F639C"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78 </w:t>
            </w:r>
          </w:p>
        </w:tc>
        <w:tc>
          <w:tcPr>
            <w:tcW w:w="1711" w:type="dxa"/>
            <w:tcBorders>
              <w:top w:val="nil"/>
              <w:left w:val="nil"/>
              <w:bottom w:val="single" w:sz="4" w:space="0" w:color="auto"/>
              <w:right w:val="single" w:sz="4" w:space="0" w:color="auto"/>
            </w:tcBorders>
            <w:shd w:val="clear" w:color="auto" w:fill="auto"/>
            <w:noWrap/>
            <w:vAlign w:val="bottom"/>
            <w:hideMark/>
          </w:tcPr>
          <w:p w14:paraId="084D43B9"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109 </w:t>
            </w:r>
          </w:p>
        </w:tc>
        <w:tc>
          <w:tcPr>
            <w:tcW w:w="1814" w:type="dxa"/>
            <w:tcBorders>
              <w:top w:val="nil"/>
              <w:left w:val="nil"/>
              <w:bottom w:val="single" w:sz="4" w:space="0" w:color="auto"/>
              <w:right w:val="single" w:sz="4" w:space="0" w:color="auto"/>
            </w:tcBorders>
            <w:shd w:val="clear" w:color="auto" w:fill="auto"/>
            <w:noWrap/>
            <w:vAlign w:val="bottom"/>
            <w:hideMark/>
          </w:tcPr>
          <w:p w14:paraId="172BC0FD"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(31)</w:t>
            </w:r>
          </w:p>
        </w:tc>
        <w:tc>
          <w:tcPr>
            <w:tcW w:w="899" w:type="dxa"/>
            <w:tcBorders>
              <w:top w:val="nil"/>
              <w:left w:val="nil"/>
              <w:bottom w:val="single" w:sz="4" w:space="0" w:color="auto"/>
              <w:right w:val="single" w:sz="4" w:space="0" w:color="auto"/>
            </w:tcBorders>
            <w:shd w:val="clear" w:color="auto" w:fill="auto"/>
            <w:noWrap/>
            <w:vAlign w:val="bottom"/>
            <w:hideMark/>
          </w:tcPr>
          <w:p w14:paraId="049766E8"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-28%</w:t>
            </w:r>
          </w:p>
        </w:tc>
      </w:tr>
      <w:tr w:rsidR="0067669F" w:rsidRPr="0067669F" w14:paraId="0E71473D"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016A7EB9"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11</w:t>
            </w:r>
          </w:p>
        </w:tc>
        <w:tc>
          <w:tcPr>
            <w:tcW w:w="3376" w:type="dxa"/>
            <w:tcBorders>
              <w:top w:val="nil"/>
              <w:left w:val="nil"/>
              <w:bottom w:val="single" w:sz="4" w:space="0" w:color="auto"/>
              <w:right w:val="nil"/>
            </w:tcBorders>
            <w:shd w:val="clear" w:color="auto" w:fill="auto"/>
            <w:noWrap/>
            <w:vAlign w:val="bottom"/>
            <w:hideMark/>
          </w:tcPr>
          <w:p w14:paraId="6D8C3048"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Разходи общо</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36253963"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10 </w:t>
            </w:r>
          </w:p>
        </w:tc>
        <w:tc>
          <w:tcPr>
            <w:tcW w:w="1711" w:type="dxa"/>
            <w:tcBorders>
              <w:top w:val="nil"/>
              <w:left w:val="nil"/>
              <w:bottom w:val="single" w:sz="4" w:space="0" w:color="auto"/>
              <w:right w:val="single" w:sz="4" w:space="0" w:color="auto"/>
            </w:tcBorders>
            <w:shd w:val="clear" w:color="auto" w:fill="auto"/>
            <w:noWrap/>
            <w:vAlign w:val="bottom"/>
            <w:hideMark/>
          </w:tcPr>
          <w:p w14:paraId="4D175A50"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10 </w:t>
            </w:r>
          </w:p>
        </w:tc>
        <w:tc>
          <w:tcPr>
            <w:tcW w:w="1814" w:type="dxa"/>
            <w:tcBorders>
              <w:top w:val="nil"/>
              <w:left w:val="nil"/>
              <w:bottom w:val="single" w:sz="4" w:space="0" w:color="auto"/>
              <w:right w:val="single" w:sz="4" w:space="0" w:color="auto"/>
            </w:tcBorders>
            <w:shd w:val="clear" w:color="auto" w:fill="auto"/>
            <w:noWrap/>
            <w:vAlign w:val="bottom"/>
            <w:hideMark/>
          </w:tcPr>
          <w:p w14:paraId="13F0969E"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   </w:t>
            </w:r>
          </w:p>
        </w:tc>
        <w:tc>
          <w:tcPr>
            <w:tcW w:w="899" w:type="dxa"/>
            <w:tcBorders>
              <w:top w:val="nil"/>
              <w:left w:val="nil"/>
              <w:bottom w:val="single" w:sz="4" w:space="0" w:color="auto"/>
              <w:right w:val="single" w:sz="4" w:space="0" w:color="auto"/>
            </w:tcBorders>
            <w:shd w:val="clear" w:color="auto" w:fill="auto"/>
            <w:noWrap/>
            <w:vAlign w:val="bottom"/>
            <w:hideMark/>
          </w:tcPr>
          <w:p w14:paraId="0FCEDFED"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0%</w:t>
            </w:r>
          </w:p>
        </w:tc>
      </w:tr>
      <w:tr w:rsidR="0067669F" w:rsidRPr="0067669F" w14:paraId="5C268078" w14:textId="77777777" w:rsidTr="0067669F">
        <w:trPr>
          <w:trHeight w:val="255"/>
        </w:trPr>
        <w:tc>
          <w:tcPr>
            <w:tcW w:w="309" w:type="dxa"/>
            <w:tcBorders>
              <w:top w:val="nil"/>
              <w:left w:val="nil"/>
              <w:bottom w:val="nil"/>
              <w:right w:val="nil"/>
            </w:tcBorders>
            <w:shd w:val="clear" w:color="000000" w:fill="C0C0C0"/>
            <w:noWrap/>
            <w:vAlign w:val="bottom"/>
            <w:hideMark/>
          </w:tcPr>
          <w:p w14:paraId="2AC6B538"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3376" w:type="dxa"/>
            <w:tcBorders>
              <w:top w:val="nil"/>
              <w:left w:val="nil"/>
              <w:bottom w:val="nil"/>
              <w:right w:val="nil"/>
            </w:tcBorders>
            <w:shd w:val="clear" w:color="000000" w:fill="C0C0C0"/>
            <w:noWrap/>
            <w:vAlign w:val="bottom"/>
            <w:hideMark/>
          </w:tcPr>
          <w:p w14:paraId="2422F8D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711" w:type="dxa"/>
            <w:tcBorders>
              <w:top w:val="nil"/>
              <w:left w:val="nil"/>
              <w:bottom w:val="nil"/>
              <w:right w:val="nil"/>
            </w:tcBorders>
            <w:shd w:val="clear" w:color="000000" w:fill="C0C0C0"/>
            <w:noWrap/>
            <w:vAlign w:val="bottom"/>
            <w:hideMark/>
          </w:tcPr>
          <w:p w14:paraId="6CB02ABD"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711" w:type="dxa"/>
            <w:tcBorders>
              <w:top w:val="nil"/>
              <w:left w:val="nil"/>
              <w:bottom w:val="nil"/>
              <w:right w:val="nil"/>
            </w:tcBorders>
            <w:shd w:val="clear" w:color="000000" w:fill="C0C0C0"/>
            <w:noWrap/>
            <w:vAlign w:val="bottom"/>
            <w:hideMark/>
          </w:tcPr>
          <w:p w14:paraId="3D647312"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814" w:type="dxa"/>
            <w:tcBorders>
              <w:top w:val="nil"/>
              <w:left w:val="nil"/>
              <w:bottom w:val="nil"/>
              <w:right w:val="nil"/>
            </w:tcBorders>
            <w:shd w:val="clear" w:color="000000" w:fill="C0C0C0"/>
            <w:noWrap/>
            <w:vAlign w:val="bottom"/>
            <w:hideMark/>
          </w:tcPr>
          <w:p w14:paraId="519F4E48"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899" w:type="dxa"/>
            <w:tcBorders>
              <w:top w:val="nil"/>
              <w:left w:val="nil"/>
              <w:bottom w:val="nil"/>
              <w:right w:val="nil"/>
            </w:tcBorders>
            <w:shd w:val="clear" w:color="000000" w:fill="C0C0C0"/>
            <w:noWrap/>
            <w:vAlign w:val="bottom"/>
            <w:hideMark/>
          </w:tcPr>
          <w:p w14:paraId="678B0AB4"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r>
      <w:tr w:rsidR="0067669F" w:rsidRPr="0067669F" w14:paraId="4FDA32CC" w14:textId="77777777" w:rsidTr="0067669F">
        <w:trPr>
          <w:trHeight w:val="255"/>
        </w:trPr>
        <w:tc>
          <w:tcPr>
            <w:tcW w:w="9820" w:type="dxa"/>
            <w:gridSpan w:val="6"/>
            <w:tcBorders>
              <w:top w:val="single" w:sz="4" w:space="0" w:color="auto"/>
              <w:left w:val="single" w:sz="4" w:space="0" w:color="auto"/>
              <w:bottom w:val="single" w:sz="4" w:space="0" w:color="auto"/>
              <w:right w:val="single" w:sz="4" w:space="0" w:color="000000"/>
            </w:tcBorders>
            <w:shd w:val="clear" w:color="000000" w:fill="00AEEF"/>
            <w:noWrap/>
            <w:vAlign w:val="bottom"/>
            <w:hideMark/>
          </w:tcPr>
          <w:p w14:paraId="4C1B56B5"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Коефициенти</w:t>
            </w:r>
          </w:p>
        </w:tc>
      </w:tr>
      <w:tr w:rsidR="0067669F" w:rsidRPr="0067669F" w14:paraId="1A6A1186" w14:textId="77777777" w:rsidTr="0067669F">
        <w:trPr>
          <w:trHeight w:val="255"/>
        </w:trPr>
        <w:tc>
          <w:tcPr>
            <w:tcW w:w="3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DB9C2C"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w:t>
            </w:r>
          </w:p>
        </w:tc>
        <w:tc>
          <w:tcPr>
            <w:tcW w:w="3376" w:type="dxa"/>
            <w:tcBorders>
              <w:top w:val="nil"/>
              <w:left w:val="nil"/>
              <w:bottom w:val="nil"/>
              <w:right w:val="nil"/>
            </w:tcBorders>
            <w:shd w:val="clear" w:color="auto" w:fill="auto"/>
            <w:noWrap/>
            <w:vAlign w:val="center"/>
            <w:hideMark/>
          </w:tcPr>
          <w:p w14:paraId="0402F238" w14:textId="77777777" w:rsidR="0067669F" w:rsidRPr="0067669F" w:rsidRDefault="0067669F" w:rsidP="0067669F">
            <w:pPr>
              <w:jc w:val="left"/>
              <w:rPr>
                <w:rFonts w:ascii="Arial" w:hAnsi="Arial" w:cs="Arial"/>
                <w:b/>
                <w:bCs/>
                <w:sz w:val="20"/>
                <w:lang w:eastAsia="bg-BG"/>
              </w:rPr>
            </w:pPr>
            <w:r w:rsidRPr="0067669F">
              <w:rPr>
                <w:rFonts w:ascii="Arial" w:hAnsi="Arial" w:cs="Arial"/>
                <w:b/>
                <w:bCs/>
                <w:sz w:val="20"/>
                <w:lang w:eastAsia="bg-BG"/>
              </w:rPr>
              <w:t>Коефициенти</w:t>
            </w:r>
          </w:p>
        </w:tc>
        <w:tc>
          <w:tcPr>
            <w:tcW w:w="1711" w:type="dxa"/>
            <w:tcBorders>
              <w:top w:val="nil"/>
              <w:left w:val="single" w:sz="4" w:space="0" w:color="auto"/>
              <w:bottom w:val="single" w:sz="4" w:space="0" w:color="auto"/>
              <w:right w:val="single" w:sz="4" w:space="0" w:color="auto"/>
            </w:tcBorders>
            <w:shd w:val="clear" w:color="auto" w:fill="auto"/>
            <w:noWrap/>
            <w:vAlign w:val="center"/>
            <w:hideMark/>
          </w:tcPr>
          <w:p w14:paraId="00130499"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2024 г.</w:t>
            </w:r>
          </w:p>
        </w:tc>
        <w:tc>
          <w:tcPr>
            <w:tcW w:w="1711" w:type="dxa"/>
            <w:tcBorders>
              <w:top w:val="nil"/>
              <w:left w:val="nil"/>
              <w:bottom w:val="single" w:sz="4" w:space="0" w:color="auto"/>
              <w:right w:val="single" w:sz="4" w:space="0" w:color="auto"/>
            </w:tcBorders>
            <w:shd w:val="clear" w:color="auto" w:fill="auto"/>
            <w:noWrap/>
            <w:vAlign w:val="center"/>
            <w:hideMark/>
          </w:tcPr>
          <w:p w14:paraId="74A40DAB"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2023 г.</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AD60DE"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Разлика</w:t>
            </w:r>
          </w:p>
        </w:tc>
      </w:tr>
      <w:tr w:rsidR="0067669F" w:rsidRPr="0067669F" w14:paraId="7DD90A7E" w14:textId="77777777" w:rsidTr="0067669F">
        <w:trPr>
          <w:trHeight w:val="255"/>
        </w:trPr>
        <w:tc>
          <w:tcPr>
            <w:tcW w:w="309" w:type="dxa"/>
            <w:vMerge/>
            <w:tcBorders>
              <w:top w:val="nil"/>
              <w:left w:val="single" w:sz="4" w:space="0" w:color="auto"/>
              <w:bottom w:val="single" w:sz="4" w:space="0" w:color="auto"/>
              <w:right w:val="single" w:sz="4" w:space="0" w:color="auto"/>
            </w:tcBorders>
            <w:vAlign w:val="center"/>
            <w:hideMark/>
          </w:tcPr>
          <w:p w14:paraId="722EF23B" w14:textId="77777777" w:rsidR="0067669F" w:rsidRPr="0067669F" w:rsidRDefault="0067669F" w:rsidP="0067669F">
            <w:pPr>
              <w:jc w:val="left"/>
              <w:rPr>
                <w:rFonts w:ascii="Arial" w:hAnsi="Arial" w:cs="Arial"/>
                <w:b/>
                <w:bCs/>
                <w:sz w:val="20"/>
                <w:lang w:eastAsia="bg-BG"/>
              </w:rPr>
            </w:pPr>
          </w:p>
        </w:tc>
        <w:tc>
          <w:tcPr>
            <w:tcW w:w="3376" w:type="dxa"/>
            <w:tcBorders>
              <w:top w:val="nil"/>
              <w:left w:val="nil"/>
              <w:bottom w:val="single" w:sz="4" w:space="0" w:color="auto"/>
              <w:right w:val="nil"/>
            </w:tcBorders>
            <w:shd w:val="clear" w:color="auto" w:fill="auto"/>
            <w:noWrap/>
            <w:vAlign w:val="center"/>
            <w:hideMark/>
          </w:tcPr>
          <w:p w14:paraId="0E0FB640" w14:textId="77777777" w:rsidR="0067669F" w:rsidRPr="0067669F" w:rsidRDefault="0067669F" w:rsidP="0067669F">
            <w:pPr>
              <w:jc w:val="left"/>
              <w:rPr>
                <w:rFonts w:ascii="Arial" w:hAnsi="Arial" w:cs="Arial"/>
                <w:b/>
                <w:bCs/>
                <w:sz w:val="20"/>
                <w:lang w:eastAsia="bg-BG"/>
              </w:rPr>
            </w:pPr>
            <w:r w:rsidRPr="0067669F">
              <w:rPr>
                <w:rFonts w:ascii="Arial" w:hAnsi="Arial" w:cs="Arial"/>
                <w:b/>
                <w:bCs/>
                <w:sz w:val="20"/>
                <w:lang w:eastAsia="bg-BG"/>
              </w:rPr>
              <w:t> </w:t>
            </w:r>
          </w:p>
        </w:tc>
        <w:tc>
          <w:tcPr>
            <w:tcW w:w="1711" w:type="dxa"/>
            <w:tcBorders>
              <w:top w:val="nil"/>
              <w:left w:val="single" w:sz="4" w:space="0" w:color="auto"/>
              <w:bottom w:val="single" w:sz="4" w:space="0" w:color="auto"/>
              <w:right w:val="single" w:sz="4" w:space="0" w:color="auto"/>
            </w:tcBorders>
            <w:shd w:val="clear" w:color="auto" w:fill="auto"/>
            <w:noWrap/>
            <w:vAlign w:val="center"/>
            <w:hideMark/>
          </w:tcPr>
          <w:p w14:paraId="0BCF6F9F"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Стойност</w:t>
            </w:r>
          </w:p>
        </w:tc>
        <w:tc>
          <w:tcPr>
            <w:tcW w:w="1711" w:type="dxa"/>
            <w:tcBorders>
              <w:top w:val="nil"/>
              <w:left w:val="nil"/>
              <w:bottom w:val="single" w:sz="4" w:space="0" w:color="auto"/>
              <w:right w:val="single" w:sz="4" w:space="0" w:color="auto"/>
            </w:tcBorders>
            <w:shd w:val="clear" w:color="auto" w:fill="auto"/>
            <w:noWrap/>
            <w:vAlign w:val="center"/>
            <w:hideMark/>
          </w:tcPr>
          <w:p w14:paraId="2FF9ED58"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Стойност</w:t>
            </w:r>
          </w:p>
        </w:tc>
        <w:tc>
          <w:tcPr>
            <w:tcW w:w="1814" w:type="dxa"/>
            <w:tcBorders>
              <w:top w:val="nil"/>
              <w:left w:val="nil"/>
              <w:bottom w:val="single" w:sz="4" w:space="0" w:color="auto"/>
              <w:right w:val="single" w:sz="4" w:space="0" w:color="auto"/>
            </w:tcBorders>
            <w:shd w:val="clear" w:color="auto" w:fill="auto"/>
            <w:noWrap/>
            <w:vAlign w:val="center"/>
            <w:hideMark/>
          </w:tcPr>
          <w:p w14:paraId="221326DB"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Стойност</w:t>
            </w:r>
          </w:p>
        </w:tc>
        <w:tc>
          <w:tcPr>
            <w:tcW w:w="899" w:type="dxa"/>
            <w:tcBorders>
              <w:top w:val="nil"/>
              <w:left w:val="nil"/>
              <w:bottom w:val="single" w:sz="4" w:space="0" w:color="auto"/>
              <w:right w:val="single" w:sz="4" w:space="0" w:color="auto"/>
            </w:tcBorders>
            <w:shd w:val="clear" w:color="auto" w:fill="auto"/>
            <w:noWrap/>
            <w:vAlign w:val="center"/>
            <w:hideMark/>
          </w:tcPr>
          <w:p w14:paraId="53C669E3"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w:t>
            </w:r>
          </w:p>
        </w:tc>
      </w:tr>
      <w:tr w:rsidR="0067669F" w:rsidRPr="0067669F" w14:paraId="6EB64D20"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14:paraId="0A748C99"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 </w:t>
            </w:r>
          </w:p>
        </w:tc>
        <w:tc>
          <w:tcPr>
            <w:tcW w:w="3376" w:type="dxa"/>
            <w:tcBorders>
              <w:top w:val="nil"/>
              <w:left w:val="nil"/>
              <w:bottom w:val="single" w:sz="4" w:space="0" w:color="auto"/>
              <w:right w:val="nil"/>
            </w:tcBorders>
            <w:shd w:val="clear" w:color="auto" w:fill="auto"/>
            <w:noWrap/>
            <w:vAlign w:val="center"/>
            <w:hideMark/>
          </w:tcPr>
          <w:p w14:paraId="344270C5" w14:textId="77777777" w:rsidR="0067669F" w:rsidRPr="0067669F" w:rsidRDefault="0067669F" w:rsidP="0067669F">
            <w:pPr>
              <w:jc w:val="left"/>
              <w:rPr>
                <w:rFonts w:ascii="Arial" w:hAnsi="Arial" w:cs="Arial"/>
                <w:b/>
                <w:bCs/>
                <w:sz w:val="20"/>
                <w:lang w:eastAsia="bg-BG"/>
              </w:rPr>
            </w:pPr>
            <w:r w:rsidRPr="0067669F">
              <w:rPr>
                <w:rFonts w:ascii="Arial" w:hAnsi="Arial" w:cs="Arial"/>
                <w:b/>
                <w:bCs/>
                <w:sz w:val="20"/>
                <w:lang w:eastAsia="bg-BG"/>
              </w:rPr>
              <w:t>Рентабилност:</w:t>
            </w:r>
          </w:p>
        </w:tc>
        <w:tc>
          <w:tcPr>
            <w:tcW w:w="1711" w:type="dxa"/>
            <w:tcBorders>
              <w:top w:val="nil"/>
              <w:left w:val="single" w:sz="4" w:space="0" w:color="auto"/>
              <w:bottom w:val="single" w:sz="4" w:space="0" w:color="auto"/>
              <w:right w:val="single" w:sz="4" w:space="0" w:color="auto"/>
            </w:tcBorders>
            <w:shd w:val="clear" w:color="auto" w:fill="auto"/>
            <w:noWrap/>
            <w:vAlign w:val="center"/>
            <w:hideMark/>
          </w:tcPr>
          <w:p w14:paraId="73ED0F54"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 </w:t>
            </w:r>
          </w:p>
        </w:tc>
        <w:tc>
          <w:tcPr>
            <w:tcW w:w="1711" w:type="dxa"/>
            <w:tcBorders>
              <w:top w:val="nil"/>
              <w:left w:val="nil"/>
              <w:bottom w:val="single" w:sz="4" w:space="0" w:color="auto"/>
              <w:right w:val="single" w:sz="4" w:space="0" w:color="auto"/>
            </w:tcBorders>
            <w:shd w:val="clear" w:color="auto" w:fill="auto"/>
            <w:noWrap/>
            <w:vAlign w:val="center"/>
            <w:hideMark/>
          </w:tcPr>
          <w:p w14:paraId="6871FA95"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 </w:t>
            </w:r>
          </w:p>
        </w:tc>
        <w:tc>
          <w:tcPr>
            <w:tcW w:w="1814" w:type="dxa"/>
            <w:tcBorders>
              <w:top w:val="nil"/>
              <w:left w:val="nil"/>
              <w:bottom w:val="single" w:sz="4" w:space="0" w:color="auto"/>
              <w:right w:val="single" w:sz="4" w:space="0" w:color="auto"/>
            </w:tcBorders>
            <w:shd w:val="clear" w:color="auto" w:fill="auto"/>
            <w:noWrap/>
            <w:vAlign w:val="center"/>
            <w:hideMark/>
          </w:tcPr>
          <w:p w14:paraId="77A703B6"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 </w:t>
            </w:r>
          </w:p>
        </w:tc>
        <w:tc>
          <w:tcPr>
            <w:tcW w:w="899" w:type="dxa"/>
            <w:tcBorders>
              <w:top w:val="nil"/>
              <w:left w:val="nil"/>
              <w:bottom w:val="single" w:sz="4" w:space="0" w:color="auto"/>
              <w:right w:val="single" w:sz="4" w:space="0" w:color="auto"/>
            </w:tcBorders>
            <w:shd w:val="clear" w:color="auto" w:fill="auto"/>
            <w:noWrap/>
            <w:vAlign w:val="center"/>
            <w:hideMark/>
          </w:tcPr>
          <w:p w14:paraId="5D46584C" w14:textId="77777777" w:rsidR="0067669F" w:rsidRPr="0067669F" w:rsidRDefault="0067669F" w:rsidP="0067669F">
            <w:pPr>
              <w:jc w:val="center"/>
              <w:rPr>
                <w:rFonts w:ascii="Arial" w:hAnsi="Arial" w:cs="Arial"/>
                <w:b/>
                <w:bCs/>
                <w:sz w:val="20"/>
                <w:lang w:eastAsia="bg-BG"/>
              </w:rPr>
            </w:pPr>
            <w:r w:rsidRPr="0067669F">
              <w:rPr>
                <w:rFonts w:ascii="Arial" w:hAnsi="Arial" w:cs="Arial"/>
                <w:b/>
                <w:bCs/>
                <w:sz w:val="20"/>
                <w:lang w:eastAsia="bg-BG"/>
              </w:rPr>
              <w:t> </w:t>
            </w:r>
          </w:p>
        </w:tc>
      </w:tr>
      <w:tr w:rsidR="0067669F" w:rsidRPr="0067669F" w14:paraId="0607065B"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62B9A595"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1</w:t>
            </w:r>
          </w:p>
        </w:tc>
        <w:tc>
          <w:tcPr>
            <w:tcW w:w="3376" w:type="dxa"/>
            <w:tcBorders>
              <w:top w:val="nil"/>
              <w:left w:val="nil"/>
              <w:bottom w:val="single" w:sz="4" w:space="0" w:color="auto"/>
              <w:right w:val="nil"/>
            </w:tcBorders>
            <w:shd w:val="clear" w:color="auto" w:fill="auto"/>
            <w:noWrap/>
            <w:vAlign w:val="bottom"/>
            <w:hideMark/>
          </w:tcPr>
          <w:p w14:paraId="071220C5"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На собствения капитал</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5D7FDEA9"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0,0069 </w:t>
            </w:r>
          </w:p>
        </w:tc>
        <w:tc>
          <w:tcPr>
            <w:tcW w:w="1711" w:type="dxa"/>
            <w:tcBorders>
              <w:top w:val="nil"/>
              <w:left w:val="nil"/>
              <w:bottom w:val="single" w:sz="4" w:space="0" w:color="auto"/>
              <w:right w:val="single" w:sz="4" w:space="0" w:color="auto"/>
            </w:tcBorders>
            <w:shd w:val="clear" w:color="auto" w:fill="auto"/>
            <w:noWrap/>
            <w:vAlign w:val="bottom"/>
            <w:hideMark/>
          </w:tcPr>
          <w:p w14:paraId="0D8DE2F9"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0,0101 </w:t>
            </w:r>
          </w:p>
        </w:tc>
        <w:tc>
          <w:tcPr>
            <w:tcW w:w="1814" w:type="dxa"/>
            <w:tcBorders>
              <w:top w:val="nil"/>
              <w:left w:val="nil"/>
              <w:bottom w:val="single" w:sz="4" w:space="0" w:color="auto"/>
              <w:right w:val="single" w:sz="4" w:space="0" w:color="auto"/>
            </w:tcBorders>
            <w:shd w:val="clear" w:color="auto" w:fill="auto"/>
            <w:noWrap/>
            <w:vAlign w:val="bottom"/>
            <w:hideMark/>
          </w:tcPr>
          <w:p w14:paraId="17491B50"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(0,0032)</w:t>
            </w:r>
          </w:p>
        </w:tc>
        <w:tc>
          <w:tcPr>
            <w:tcW w:w="899" w:type="dxa"/>
            <w:tcBorders>
              <w:top w:val="nil"/>
              <w:left w:val="nil"/>
              <w:bottom w:val="single" w:sz="4" w:space="0" w:color="auto"/>
              <w:right w:val="single" w:sz="4" w:space="0" w:color="auto"/>
            </w:tcBorders>
            <w:shd w:val="clear" w:color="auto" w:fill="auto"/>
            <w:noWrap/>
            <w:vAlign w:val="bottom"/>
            <w:hideMark/>
          </w:tcPr>
          <w:p w14:paraId="6AA99005"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-32%</w:t>
            </w:r>
          </w:p>
        </w:tc>
      </w:tr>
      <w:tr w:rsidR="0067669F" w:rsidRPr="0067669F" w14:paraId="030FE5BD"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568B922C"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2</w:t>
            </w:r>
          </w:p>
        </w:tc>
        <w:tc>
          <w:tcPr>
            <w:tcW w:w="3376" w:type="dxa"/>
            <w:tcBorders>
              <w:top w:val="nil"/>
              <w:left w:val="nil"/>
              <w:bottom w:val="single" w:sz="4" w:space="0" w:color="auto"/>
              <w:right w:val="nil"/>
            </w:tcBorders>
            <w:shd w:val="clear" w:color="auto" w:fill="auto"/>
            <w:noWrap/>
            <w:vAlign w:val="bottom"/>
            <w:hideMark/>
          </w:tcPr>
          <w:p w14:paraId="437375E7"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На активите</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3F7F098B"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0,0067 </w:t>
            </w:r>
          </w:p>
        </w:tc>
        <w:tc>
          <w:tcPr>
            <w:tcW w:w="1711" w:type="dxa"/>
            <w:tcBorders>
              <w:top w:val="nil"/>
              <w:left w:val="nil"/>
              <w:bottom w:val="single" w:sz="4" w:space="0" w:color="auto"/>
              <w:right w:val="single" w:sz="4" w:space="0" w:color="auto"/>
            </w:tcBorders>
            <w:shd w:val="clear" w:color="auto" w:fill="auto"/>
            <w:noWrap/>
            <w:vAlign w:val="bottom"/>
            <w:hideMark/>
          </w:tcPr>
          <w:p w14:paraId="079DDF2F"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0,0098 </w:t>
            </w:r>
          </w:p>
        </w:tc>
        <w:tc>
          <w:tcPr>
            <w:tcW w:w="1814" w:type="dxa"/>
            <w:tcBorders>
              <w:top w:val="nil"/>
              <w:left w:val="nil"/>
              <w:bottom w:val="single" w:sz="4" w:space="0" w:color="auto"/>
              <w:right w:val="single" w:sz="4" w:space="0" w:color="auto"/>
            </w:tcBorders>
            <w:shd w:val="clear" w:color="auto" w:fill="auto"/>
            <w:noWrap/>
            <w:vAlign w:val="bottom"/>
            <w:hideMark/>
          </w:tcPr>
          <w:p w14:paraId="4E87BEB4"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(0,0031)</w:t>
            </w:r>
          </w:p>
        </w:tc>
        <w:tc>
          <w:tcPr>
            <w:tcW w:w="899" w:type="dxa"/>
            <w:tcBorders>
              <w:top w:val="nil"/>
              <w:left w:val="nil"/>
              <w:bottom w:val="single" w:sz="4" w:space="0" w:color="auto"/>
              <w:right w:val="single" w:sz="4" w:space="0" w:color="auto"/>
            </w:tcBorders>
            <w:shd w:val="clear" w:color="auto" w:fill="auto"/>
            <w:noWrap/>
            <w:vAlign w:val="bottom"/>
            <w:hideMark/>
          </w:tcPr>
          <w:p w14:paraId="48ABD4CF"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-32%</w:t>
            </w:r>
          </w:p>
        </w:tc>
      </w:tr>
      <w:tr w:rsidR="0067669F" w:rsidRPr="0067669F" w14:paraId="21647ABE"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13ED43A7"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3</w:t>
            </w:r>
          </w:p>
        </w:tc>
        <w:tc>
          <w:tcPr>
            <w:tcW w:w="3376" w:type="dxa"/>
            <w:tcBorders>
              <w:top w:val="nil"/>
              <w:left w:val="nil"/>
              <w:bottom w:val="single" w:sz="4" w:space="0" w:color="auto"/>
              <w:right w:val="nil"/>
            </w:tcBorders>
            <w:shd w:val="clear" w:color="auto" w:fill="auto"/>
            <w:noWrap/>
            <w:vAlign w:val="bottom"/>
            <w:hideMark/>
          </w:tcPr>
          <w:p w14:paraId="104915CB"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На пасивите</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5ED5D919"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0,2906 </w:t>
            </w:r>
          </w:p>
        </w:tc>
        <w:tc>
          <w:tcPr>
            <w:tcW w:w="1711" w:type="dxa"/>
            <w:tcBorders>
              <w:top w:val="nil"/>
              <w:left w:val="nil"/>
              <w:bottom w:val="single" w:sz="4" w:space="0" w:color="auto"/>
              <w:right w:val="single" w:sz="4" w:space="0" w:color="auto"/>
            </w:tcBorders>
            <w:shd w:val="clear" w:color="auto" w:fill="auto"/>
            <w:noWrap/>
            <w:vAlign w:val="bottom"/>
            <w:hideMark/>
          </w:tcPr>
          <w:p w14:paraId="4CF6717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0,4459 </w:t>
            </w:r>
          </w:p>
        </w:tc>
        <w:tc>
          <w:tcPr>
            <w:tcW w:w="1814" w:type="dxa"/>
            <w:tcBorders>
              <w:top w:val="nil"/>
              <w:left w:val="nil"/>
              <w:bottom w:val="single" w:sz="4" w:space="0" w:color="auto"/>
              <w:right w:val="single" w:sz="4" w:space="0" w:color="auto"/>
            </w:tcBorders>
            <w:shd w:val="clear" w:color="auto" w:fill="auto"/>
            <w:noWrap/>
            <w:vAlign w:val="bottom"/>
            <w:hideMark/>
          </w:tcPr>
          <w:p w14:paraId="256AE254"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(0,1553)</w:t>
            </w:r>
          </w:p>
        </w:tc>
        <w:tc>
          <w:tcPr>
            <w:tcW w:w="899" w:type="dxa"/>
            <w:tcBorders>
              <w:top w:val="nil"/>
              <w:left w:val="nil"/>
              <w:bottom w:val="single" w:sz="4" w:space="0" w:color="auto"/>
              <w:right w:val="single" w:sz="4" w:space="0" w:color="auto"/>
            </w:tcBorders>
            <w:shd w:val="clear" w:color="auto" w:fill="auto"/>
            <w:noWrap/>
            <w:vAlign w:val="bottom"/>
            <w:hideMark/>
          </w:tcPr>
          <w:p w14:paraId="10798809"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-35%</w:t>
            </w:r>
          </w:p>
        </w:tc>
      </w:tr>
      <w:tr w:rsidR="0067669F" w:rsidRPr="0067669F" w14:paraId="029ABBED"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26C58AB7"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 </w:t>
            </w:r>
          </w:p>
        </w:tc>
        <w:tc>
          <w:tcPr>
            <w:tcW w:w="3376" w:type="dxa"/>
            <w:tcBorders>
              <w:top w:val="nil"/>
              <w:left w:val="nil"/>
              <w:bottom w:val="single" w:sz="4" w:space="0" w:color="auto"/>
              <w:right w:val="nil"/>
            </w:tcBorders>
            <w:shd w:val="clear" w:color="auto" w:fill="auto"/>
            <w:noWrap/>
            <w:vAlign w:val="bottom"/>
            <w:hideMark/>
          </w:tcPr>
          <w:p w14:paraId="03675119"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2D9ECB8E"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711" w:type="dxa"/>
            <w:tcBorders>
              <w:top w:val="nil"/>
              <w:left w:val="nil"/>
              <w:bottom w:val="single" w:sz="4" w:space="0" w:color="auto"/>
              <w:right w:val="single" w:sz="4" w:space="0" w:color="auto"/>
            </w:tcBorders>
            <w:shd w:val="clear" w:color="auto" w:fill="auto"/>
            <w:noWrap/>
            <w:vAlign w:val="bottom"/>
            <w:hideMark/>
          </w:tcPr>
          <w:p w14:paraId="3FF3C527"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814" w:type="dxa"/>
            <w:tcBorders>
              <w:top w:val="nil"/>
              <w:left w:val="nil"/>
              <w:bottom w:val="single" w:sz="4" w:space="0" w:color="auto"/>
              <w:right w:val="single" w:sz="4" w:space="0" w:color="auto"/>
            </w:tcBorders>
            <w:shd w:val="clear" w:color="auto" w:fill="auto"/>
            <w:noWrap/>
            <w:vAlign w:val="bottom"/>
            <w:hideMark/>
          </w:tcPr>
          <w:p w14:paraId="05DF3659"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899" w:type="dxa"/>
            <w:tcBorders>
              <w:top w:val="nil"/>
              <w:left w:val="nil"/>
              <w:bottom w:val="single" w:sz="4" w:space="0" w:color="auto"/>
              <w:right w:val="single" w:sz="4" w:space="0" w:color="auto"/>
            </w:tcBorders>
            <w:shd w:val="clear" w:color="auto" w:fill="auto"/>
            <w:noWrap/>
            <w:vAlign w:val="bottom"/>
            <w:hideMark/>
          </w:tcPr>
          <w:p w14:paraId="5F34AB4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r>
      <w:tr w:rsidR="0067669F" w:rsidRPr="0067669F" w14:paraId="2BD16E00"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05282860"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 </w:t>
            </w:r>
          </w:p>
        </w:tc>
        <w:tc>
          <w:tcPr>
            <w:tcW w:w="3376" w:type="dxa"/>
            <w:tcBorders>
              <w:top w:val="nil"/>
              <w:left w:val="nil"/>
              <w:bottom w:val="single" w:sz="4" w:space="0" w:color="auto"/>
              <w:right w:val="nil"/>
            </w:tcBorders>
            <w:shd w:val="clear" w:color="auto" w:fill="auto"/>
            <w:noWrap/>
            <w:vAlign w:val="center"/>
            <w:hideMark/>
          </w:tcPr>
          <w:p w14:paraId="70A1A3F8" w14:textId="77777777" w:rsidR="0067669F" w:rsidRPr="0067669F" w:rsidRDefault="0067669F" w:rsidP="0067669F">
            <w:pPr>
              <w:jc w:val="left"/>
              <w:rPr>
                <w:rFonts w:ascii="Arial" w:hAnsi="Arial" w:cs="Arial"/>
                <w:b/>
                <w:bCs/>
                <w:sz w:val="20"/>
                <w:lang w:eastAsia="bg-BG"/>
              </w:rPr>
            </w:pPr>
            <w:r w:rsidRPr="0067669F">
              <w:rPr>
                <w:rFonts w:ascii="Arial" w:hAnsi="Arial" w:cs="Arial"/>
                <w:b/>
                <w:bCs/>
                <w:sz w:val="20"/>
                <w:lang w:eastAsia="bg-BG"/>
              </w:rPr>
              <w:t>Ефективност:</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041C61AA"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711" w:type="dxa"/>
            <w:tcBorders>
              <w:top w:val="nil"/>
              <w:left w:val="nil"/>
              <w:bottom w:val="single" w:sz="4" w:space="0" w:color="auto"/>
              <w:right w:val="single" w:sz="4" w:space="0" w:color="auto"/>
            </w:tcBorders>
            <w:shd w:val="clear" w:color="auto" w:fill="auto"/>
            <w:noWrap/>
            <w:vAlign w:val="bottom"/>
            <w:hideMark/>
          </w:tcPr>
          <w:p w14:paraId="4FDB75C6"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814" w:type="dxa"/>
            <w:tcBorders>
              <w:top w:val="nil"/>
              <w:left w:val="nil"/>
              <w:bottom w:val="single" w:sz="4" w:space="0" w:color="auto"/>
              <w:right w:val="single" w:sz="4" w:space="0" w:color="auto"/>
            </w:tcBorders>
            <w:shd w:val="clear" w:color="auto" w:fill="auto"/>
            <w:noWrap/>
            <w:vAlign w:val="bottom"/>
            <w:hideMark/>
          </w:tcPr>
          <w:p w14:paraId="3141FD8E"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899" w:type="dxa"/>
            <w:tcBorders>
              <w:top w:val="nil"/>
              <w:left w:val="nil"/>
              <w:bottom w:val="single" w:sz="4" w:space="0" w:color="auto"/>
              <w:right w:val="single" w:sz="4" w:space="0" w:color="auto"/>
            </w:tcBorders>
            <w:shd w:val="clear" w:color="auto" w:fill="auto"/>
            <w:noWrap/>
            <w:vAlign w:val="bottom"/>
            <w:hideMark/>
          </w:tcPr>
          <w:p w14:paraId="4BA8F525"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r>
      <w:tr w:rsidR="0067669F" w:rsidRPr="0067669F" w14:paraId="734E6C55"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1C75BC83"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4</w:t>
            </w:r>
          </w:p>
        </w:tc>
        <w:tc>
          <w:tcPr>
            <w:tcW w:w="3376" w:type="dxa"/>
            <w:tcBorders>
              <w:top w:val="nil"/>
              <w:left w:val="nil"/>
              <w:bottom w:val="single" w:sz="4" w:space="0" w:color="auto"/>
              <w:right w:val="nil"/>
            </w:tcBorders>
            <w:shd w:val="clear" w:color="auto" w:fill="auto"/>
            <w:noWrap/>
            <w:vAlign w:val="center"/>
            <w:hideMark/>
          </w:tcPr>
          <w:p w14:paraId="6BCD9E24"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На разходите</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4A38BFE4"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7,8000 </w:t>
            </w:r>
          </w:p>
        </w:tc>
        <w:tc>
          <w:tcPr>
            <w:tcW w:w="1711" w:type="dxa"/>
            <w:tcBorders>
              <w:top w:val="nil"/>
              <w:left w:val="nil"/>
              <w:bottom w:val="single" w:sz="4" w:space="0" w:color="auto"/>
              <w:right w:val="single" w:sz="4" w:space="0" w:color="auto"/>
            </w:tcBorders>
            <w:shd w:val="clear" w:color="auto" w:fill="auto"/>
            <w:noWrap/>
            <w:vAlign w:val="bottom"/>
            <w:hideMark/>
          </w:tcPr>
          <w:p w14:paraId="7E266E8F"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10,9000 </w:t>
            </w:r>
          </w:p>
        </w:tc>
        <w:tc>
          <w:tcPr>
            <w:tcW w:w="1814" w:type="dxa"/>
            <w:tcBorders>
              <w:top w:val="nil"/>
              <w:left w:val="nil"/>
              <w:bottom w:val="single" w:sz="4" w:space="0" w:color="auto"/>
              <w:right w:val="single" w:sz="4" w:space="0" w:color="auto"/>
            </w:tcBorders>
            <w:shd w:val="clear" w:color="auto" w:fill="auto"/>
            <w:noWrap/>
            <w:vAlign w:val="bottom"/>
            <w:hideMark/>
          </w:tcPr>
          <w:p w14:paraId="236C50E6"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(3,1000)</w:t>
            </w:r>
          </w:p>
        </w:tc>
        <w:tc>
          <w:tcPr>
            <w:tcW w:w="899" w:type="dxa"/>
            <w:tcBorders>
              <w:top w:val="nil"/>
              <w:left w:val="nil"/>
              <w:bottom w:val="single" w:sz="4" w:space="0" w:color="auto"/>
              <w:right w:val="single" w:sz="4" w:space="0" w:color="auto"/>
            </w:tcBorders>
            <w:shd w:val="clear" w:color="auto" w:fill="auto"/>
            <w:noWrap/>
            <w:vAlign w:val="bottom"/>
            <w:hideMark/>
          </w:tcPr>
          <w:p w14:paraId="0D683F3B"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-28%</w:t>
            </w:r>
          </w:p>
        </w:tc>
      </w:tr>
      <w:tr w:rsidR="0067669F" w:rsidRPr="0067669F" w14:paraId="68E72C0A"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229EF809"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5</w:t>
            </w:r>
          </w:p>
        </w:tc>
        <w:tc>
          <w:tcPr>
            <w:tcW w:w="3376" w:type="dxa"/>
            <w:tcBorders>
              <w:top w:val="nil"/>
              <w:left w:val="nil"/>
              <w:bottom w:val="single" w:sz="4" w:space="0" w:color="auto"/>
              <w:right w:val="nil"/>
            </w:tcBorders>
            <w:shd w:val="clear" w:color="auto" w:fill="auto"/>
            <w:noWrap/>
            <w:vAlign w:val="bottom"/>
            <w:hideMark/>
          </w:tcPr>
          <w:p w14:paraId="479E2E30"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На приходите</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1A5EB4C4"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0,1282 </w:t>
            </w:r>
          </w:p>
        </w:tc>
        <w:tc>
          <w:tcPr>
            <w:tcW w:w="1711" w:type="dxa"/>
            <w:tcBorders>
              <w:top w:val="nil"/>
              <w:left w:val="nil"/>
              <w:bottom w:val="single" w:sz="4" w:space="0" w:color="auto"/>
              <w:right w:val="single" w:sz="4" w:space="0" w:color="auto"/>
            </w:tcBorders>
            <w:shd w:val="clear" w:color="auto" w:fill="auto"/>
            <w:noWrap/>
            <w:vAlign w:val="bottom"/>
            <w:hideMark/>
          </w:tcPr>
          <w:p w14:paraId="3E498810"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0,0917 </w:t>
            </w:r>
          </w:p>
        </w:tc>
        <w:tc>
          <w:tcPr>
            <w:tcW w:w="1814" w:type="dxa"/>
            <w:tcBorders>
              <w:top w:val="nil"/>
              <w:left w:val="nil"/>
              <w:bottom w:val="single" w:sz="4" w:space="0" w:color="auto"/>
              <w:right w:val="single" w:sz="4" w:space="0" w:color="auto"/>
            </w:tcBorders>
            <w:shd w:val="clear" w:color="auto" w:fill="auto"/>
            <w:noWrap/>
            <w:vAlign w:val="bottom"/>
            <w:hideMark/>
          </w:tcPr>
          <w:p w14:paraId="25F5A4E2"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0,0365 </w:t>
            </w:r>
          </w:p>
        </w:tc>
        <w:tc>
          <w:tcPr>
            <w:tcW w:w="899" w:type="dxa"/>
            <w:tcBorders>
              <w:top w:val="nil"/>
              <w:left w:val="nil"/>
              <w:bottom w:val="single" w:sz="4" w:space="0" w:color="auto"/>
              <w:right w:val="single" w:sz="4" w:space="0" w:color="auto"/>
            </w:tcBorders>
            <w:shd w:val="clear" w:color="auto" w:fill="auto"/>
            <w:noWrap/>
            <w:vAlign w:val="bottom"/>
            <w:hideMark/>
          </w:tcPr>
          <w:p w14:paraId="5BC32820"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40%</w:t>
            </w:r>
          </w:p>
        </w:tc>
      </w:tr>
      <w:tr w:rsidR="0067669F" w:rsidRPr="0067669F" w14:paraId="07911BE9"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0791625D"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 </w:t>
            </w:r>
          </w:p>
        </w:tc>
        <w:tc>
          <w:tcPr>
            <w:tcW w:w="3376" w:type="dxa"/>
            <w:tcBorders>
              <w:top w:val="nil"/>
              <w:left w:val="nil"/>
              <w:bottom w:val="single" w:sz="4" w:space="0" w:color="auto"/>
              <w:right w:val="nil"/>
            </w:tcBorders>
            <w:shd w:val="clear" w:color="auto" w:fill="auto"/>
            <w:noWrap/>
            <w:vAlign w:val="bottom"/>
            <w:hideMark/>
          </w:tcPr>
          <w:p w14:paraId="6F773E62" w14:textId="77777777" w:rsidR="0067669F" w:rsidRPr="0067669F" w:rsidRDefault="0067669F" w:rsidP="0067669F">
            <w:pPr>
              <w:jc w:val="left"/>
              <w:rPr>
                <w:rFonts w:ascii="Arial" w:hAnsi="Arial" w:cs="Arial"/>
                <w:b/>
                <w:bCs/>
                <w:sz w:val="20"/>
                <w:lang w:eastAsia="bg-BG"/>
              </w:rPr>
            </w:pPr>
            <w:r w:rsidRPr="0067669F">
              <w:rPr>
                <w:rFonts w:ascii="Arial" w:hAnsi="Arial" w:cs="Arial"/>
                <w:b/>
                <w:bCs/>
                <w:sz w:val="20"/>
                <w:lang w:eastAsia="bg-BG"/>
              </w:rPr>
              <w:t>Ликвидност:</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4CA12312"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711" w:type="dxa"/>
            <w:tcBorders>
              <w:top w:val="nil"/>
              <w:left w:val="nil"/>
              <w:bottom w:val="single" w:sz="4" w:space="0" w:color="auto"/>
              <w:right w:val="single" w:sz="4" w:space="0" w:color="auto"/>
            </w:tcBorders>
            <w:shd w:val="clear" w:color="auto" w:fill="auto"/>
            <w:noWrap/>
            <w:vAlign w:val="bottom"/>
            <w:hideMark/>
          </w:tcPr>
          <w:p w14:paraId="5CCB51EA"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814" w:type="dxa"/>
            <w:tcBorders>
              <w:top w:val="nil"/>
              <w:left w:val="nil"/>
              <w:bottom w:val="single" w:sz="4" w:space="0" w:color="auto"/>
              <w:right w:val="single" w:sz="4" w:space="0" w:color="auto"/>
            </w:tcBorders>
            <w:shd w:val="clear" w:color="auto" w:fill="auto"/>
            <w:noWrap/>
            <w:vAlign w:val="bottom"/>
            <w:hideMark/>
          </w:tcPr>
          <w:p w14:paraId="7F1258D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899" w:type="dxa"/>
            <w:tcBorders>
              <w:top w:val="nil"/>
              <w:left w:val="nil"/>
              <w:bottom w:val="single" w:sz="4" w:space="0" w:color="auto"/>
              <w:right w:val="single" w:sz="4" w:space="0" w:color="auto"/>
            </w:tcBorders>
            <w:shd w:val="clear" w:color="auto" w:fill="auto"/>
            <w:noWrap/>
            <w:vAlign w:val="bottom"/>
            <w:hideMark/>
          </w:tcPr>
          <w:p w14:paraId="7DE64FD2"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r>
      <w:tr w:rsidR="0067669F" w:rsidRPr="0067669F" w14:paraId="309CE0E4"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64E86D6B"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6</w:t>
            </w:r>
          </w:p>
        </w:tc>
        <w:tc>
          <w:tcPr>
            <w:tcW w:w="3376" w:type="dxa"/>
            <w:tcBorders>
              <w:top w:val="nil"/>
              <w:left w:val="nil"/>
              <w:bottom w:val="single" w:sz="4" w:space="0" w:color="auto"/>
              <w:right w:val="nil"/>
            </w:tcBorders>
            <w:shd w:val="clear" w:color="auto" w:fill="auto"/>
            <w:noWrap/>
            <w:vAlign w:val="bottom"/>
            <w:hideMark/>
          </w:tcPr>
          <w:p w14:paraId="43BA8F6B"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Обща ликвидност</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671CC4C6"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43,3590 </w:t>
            </w:r>
          </w:p>
        </w:tc>
        <w:tc>
          <w:tcPr>
            <w:tcW w:w="1711" w:type="dxa"/>
            <w:tcBorders>
              <w:top w:val="nil"/>
              <w:left w:val="nil"/>
              <w:bottom w:val="single" w:sz="4" w:space="0" w:color="auto"/>
              <w:right w:val="single" w:sz="4" w:space="0" w:color="auto"/>
            </w:tcBorders>
            <w:shd w:val="clear" w:color="auto" w:fill="auto"/>
            <w:noWrap/>
            <w:vAlign w:val="bottom"/>
            <w:hideMark/>
          </w:tcPr>
          <w:p w14:paraId="55B5D604"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45,3423 </w:t>
            </w:r>
          </w:p>
        </w:tc>
        <w:tc>
          <w:tcPr>
            <w:tcW w:w="1814" w:type="dxa"/>
            <w:tcBorders>
              <w:top w:val="nil"/>
              <w:left w:val="nil"/>
              <w:bottom w:val="single" w:sz="4" w:space="0" w:color="auto"/>
              <w:right w:val="single" w:sz="4" w:space="0" w:color="auto"/>
            </w:tcBorders>
            <w:shd w:val="clear" w:color="auto" w:fill="auto"/>
            <w:noWrap/>
            <w:vAlign w:val="bottom"/>
            <w:hideMark/>
          </w:tcPr>
          <w:p w14:paraId="3BE03B7C"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(1,9834)</w:t>
            </w:r>
          </w:p>
        </w:tc>
        <w:tc>
          <w:tcPr>
            <w:tcW w:w="899" w:type="dxa"/>
            <w:tcBorders>
              <w:top w:val="nil"/>
              <w:left w:val="nil"/>
              <w:bottom w:val="single" w:sz="4" w:space="0" w:color="auto"/>
              <w:right w:val="single" w:sz="4" w:space="0" w:color="auto"/>
            </w:tcBorders>
            <w:shd w:val="clear" w:color="auto" w:fill="auto"/>
            <w:noWrap/>
            <w:vAlign w:val="bottom"/>
            <w:hideMark/>
          </w:tcPr>
          <w:p w14:paraId="2456CA55"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-4%</w:t>
            </w:r>
          </w:p>
        </w:tc>
      </w:tr>
      <w:tr w:rsidR="0067669F" w:rsidRPr="0067669F" w14:paraId="4C61D8CA"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0D6C65A5"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7</w:t>
            </w:r>
          </w:p>
        </w:tc>
        <w:tc>
          <w:tcPr>
            <w:tcW w:w="3376" w:type="dxa"/>
            <w:tcBorders>
              <w:top w:val="nil"/>
              <w:left w:val="nil"/>
              <w:bottom w:val="single" w:sz="4" w:space="0" w:color="auto"/>
              <w:right w:val="nil"/>
            </w:tcBorders>
            <w:shd w:val="clear" w:color="auto" w:fill="auto"/>
            <w:noWrap/>
            <w:vAlign w:val="bottom"/>
            <w:hideMark/>
          </w:tcPr>
          <w:p w14:paraId="1284241D"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Бърза ликвидност</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726A36B6"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43,3590 </w:t>
            </w:r>
          </w:p>
        </w:tc>
        <w:tc>
          <w:tcPr>
            <w:tcW w:w="1711" w:type="dxa"/>
            <w:tcBorders>
              <w:top w:val="nil"/>
              <w:left w:val="nil"/>
              <w:bottom w:val="single" w:sz="4" w:space="0" w:color="auto"/>
              <w:right w:val="single" w:sz="4" w:space="0" w:color="auto"/>
            </w:tcBorders>
            <w:shd w:val="clear" w:color="auto" w:fill="auto"/>
            <w:noWrap/>
            <w:vAlign w:val="bottom"/>
            <w:hideMark/>
          </w:tcPr>
          <w:p w14:paraId="6FC1DD93"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45,3423 </w:t>
            </w:r>
          </w:p>
        </w:tc>
        <w:tc>
          <w:tcPr>
            <w:tcW w:w="1814" w:type="dxa"/>
            <w:tcBorders>
              <w:top w:val="nil"/>
              <w:left w:val="nil"/>
              <w:bottom w:val="single" w:sz="4" w:space="0" w:color="auto"/>
              <w:right w:val="single" w:sz="4" w:space="0" w:color="auto"/>
            </w:tcBorders>
            <w:shd w:val="clear" w:color="auto" w:fill="auto"/>
            <w:noWrap/>
            <w:vAlign w:val="bottom"/>
            <w:hideMark/>
          </w:tcPr>
          <w:p w14:paraId="7B5E3B2C"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(1,9834)</w:t>
            </w:r>
          </w:p>
        </w:tc>
        <w:tc>
          <w:tcPr>
            <w:tcW w:w="899" w:type="dxa"/>
            <w:tcBorders>
              <w:top w:val="nil"/>
              <w:left w:val="nil"/>
              <w:bottom w:val="single" w:sz="4" w:space="0" w:color="auto"/>
              <w:right w:val="single" w:sz="4" w:space="0" w:color="auto"/>
            </w:tcBorders>
            <w:shd w:val="clear" w:color="auto" w:fill="auto"/>
            <w:noWrap/>
            <w:vAlign w:val="bottom"/>
            <w:hideMark/>
          </w:tcPr>
          <w:p w14:paraId="6911010A"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-4%</w:t>
            </w:r>
          </w:p>
        </w:tc>
      </w:tr>
      <w:tr w:rsidR="0067669F" w:rsidRPr="0067669F" w14:paraId="2CCEDB1D"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60C69665"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8</w:t>
            </w:r>
          </w:p>
        </w:tc>
        <w:tc>
          <w:tcPr>
            <w:tcW w:w="3376" w:type="dxa"/>
            <w:tcBorders>
              <w:top w:val="nil"/>
              <w:left w:val="nil"/>
              <w:bottom w:val="single" w:sz="4" w:space="0" w:color="auto"/>
              <w:right w:val="nil"/>
            </w:tcBorders>
            <w:shd w:val="clear" w:color="auto" w:fill="auto"/>
            <w:noWrap/>
            <w:vAlign w:val="bottom"/>
            <w:hideMark/>
          </w:tcPr>
          <w:p w14:paraId="3D8498CD"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Незабавна ликвидност</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22E6D0D5"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43,3590 </w:t>
            </w:r>
          </w:p>
        </w:tc>
        <w:tc>
          <w:tcPr>
            <w:tcW w:w="1711" w:type="dxa"/>
            <w:tcBorders>
              <w:top w:val="nil"/>
              <w:left w:val="nil"/>
              <w:bottom w:val="single" w:sz="4" w:space="0" w:color="auto"/>
              <w:right w:val="single" w:sz="4" w:space="0" w:color="auto"/>
            </w:tcBorders>
            <w:shd w:val="clear" w:color="auto" w:fill="auto"/>
            <w:noWrap/>
            <w:vAlign w:val="bottom"/>
            <w:hideMark/>
          </w:tcPr>
          <w:p w14:paraId="0BE6457D"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45,3423 </w:t>
            </w:r>
          </w:p>
        </w:tc>
        <w:tc>
          <w:tcPr>
            <w:tcW w:w="1814" w:type="dxa"/>
            <w:tcBorders>
              <w:top w:val="nil"/>
              <w:left w:val="nil"/>
              <w:bottom w:val="single" w:sz="4" w:space="0" w:color="auto"/>
              <w:right w:val="single" w:sz="4" w:space="0" w:color="auto"/>
            </w:tcBorders>
            <w:shd w:val="clear" w:color="auto" w:fill="auto"/>
            <w:noWrap/>
            <w:vAlign w:val="bottom"/>
            <w:hideMark/>
          </w:tcPr>
          <w:p w14:paraId="1C04722D"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(1,9834)</w:t>
            </w:r>
          </w:p>
        </w:tc>
        <w:tc>
          <w:tcPr>
            <w:tcW w:w="899" w:type="dxa"/>
            <w:tcBorders>
              <w:top w:val="nil"/>
              <w:left w:val="nil"/>
              <w:bottom w:val="single" w:sz="4" w:space="0" w:color="auto"/>
              <w:right w:val="single" w:sz="4" w:space="0" w:color="auto"/>
            </w:tcBorders>
            <w:shd w:val="clear" w:color="auto" w:fill="auto"/>
            <w:noWrap/>
            <w:vAlign w:val="bottom"/>
            <w:hideMark/>
          </w:tcPr>
          <w:p w14:paraId="719CF0CD"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-4%</w:t>
            </w:r>
          </w:p>
        </w:tc>
      </w:tr>
      <w:tr w:rsidR="0067669F" w:rsidRPr="0067669F" w14:paraId="504DC3B2"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16B8BE15"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9</w:t>
            </w:r>
          </w:p>
        </w:tc>
        <w:tc>
          <w:tcPr>
            <w:tcW w:w="3376" w:type="dxa"/>
            <w:tcBorders>
              <w:top w:val="nil"/>
              <w:left w:val="nil"/>
              <w:bottom w:val="single" w:sz="4" w:space="0" w:color="auto"/>
              <w:right w:val="nil"/>
            </w:tcBorders>
            <w:shd w:val="clear" w:color="auto" w:fill="auto"/>
            <w:noWrap/>
            <w:vAlign w:val="bottom"/>
            <w:hideMark/>
          </w:tcPr>
          <w:p w14:paraId="4860D73D"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Абсолютна ликвидност</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462E0E0F"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0,0128 </w:t>
            </w:r>
          </w:p>
        </w:tc>
        <w:tc>
          <w:tcPr>
            <w:tcW w:w="1711" w:type="dxa"/>
            <w:tcBorders>
              <w:top w:val="nil"/>
              <w:left w:val="nil"/>
              <w:bottom w:val="single" w:sz="4" w:space="0" w:color="auto"/>
              <w:right w:val="single" w:sz="4" w:space="0" w:color="auto"/>
            </w:tcBorders>
            <w:shd w:val="clear" w:color="auto" w:fill="auto"/>
            <w:noWrap/>
            <w:vAlign w:val="bottom"/>
            <w:hideMark/>
          </w:tcPr>
          <w:p w14:paraId="6FDE398D"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   </w:t>
            </w:r>
          </w:p>
        </w:tc>
        <w:tc>
          <w:tcPr>
            <w:tcW w:w="1814" w:type="dxa"/>
            <w:tcBorders>
              <w:top w:val="nil"/>
              <w:left w:val="nil"/>
              <w:bottom w:val="single" w:sz="4" w:space="0" w:color="auto"/>
              <w:right w:val="single" w:sz="4" w:space="0" w:color="auto"/>
            </w:tcBorders>
            <w:shd w:val="clear" w:color="auto" w:fill="auto"/>
            <w:noWrap/>
            <w:vAlign w:val="bottom"/>
            <w:hideMark/>
          </w:tcPr>
          <w:p w14:paraId="3B52C9D6"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0,0128 </w:t>
            </w:r>
          </w:p>
        </w:tc>
        <w:tc>
          <w:tcPr>
            <w:tcW w:w="899" w:type="dxa"/>
            <w:tcBorders>
              <w:top w:val="nil"/>
              <w:left w:val="nil"/>
              <w:bottom w:val="single" w:sz="4" w:space="0" w:color="auto"/>
              <w:right w:val="single" w:sz="4" w:space="0" w:color="auto"/>
            </w:tcBorders>
            <w:shd w:val="clear" w:color="auto" w:fill="auto"/>
            <w:noWrap/>
            <w:vAlign w:val="bottom"/>
            <w:hideMark/>
          </w:tcPr>
          <w:p w14:paraId="7215FB12"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#DIV/0!</w:t>
            </w:r>
          </w:p>
        </w:tc>
      </w:tr>
      <w:tr w:rsidR="0067669F" w:rsidRPr="0067669F" w14:paraId="2898F623"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52595BB4"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 </w:t>
            </w:r>
          </w:p>
        </w:tc>
        <w:tc>
          <w:tcPr>
            <w:tcW w:w="3376" w:type="dxa"/>
            <w:tcBorders>
              <w:top w:val="nil"/>
              <w:left w:val="nil"/>
              <w:bottom w:val="single" w:sz="4" w:space="0" w:color="auto"/>
              <w:right w:val="nil"/>
            </w:tcBorders>
            <w:shd w:val="clear" w:color="auto" w:fill="auto"/>
            <w:noWrap/>
            <w:vAlign w:val="bottom"/>
            <w:hideMark/>
          </w:tcPr>
          <w:p w14:paraId="491FF2A4" w14:textId="77777777" w:rsidR="0067669F" w:rsidRPr="0067669F" w:rsidRDefault="0067669F" w:rsidP="0067669F">
            <w:pPr>
              <w:jc w:val="left"/>
              <w:rPr>
                <w:rFonts w:ascii="Arial" w:hAnsi="Arial" w:cs="Arial"/>
                <w:b/>
                <w:bCs/>
                <w:sz w:val="20"/>
                <w:lang w:eastAsia="bg-BG"/>
              </w:rPr>
            </w:pPr>
            <w:r w:rsidRPr="0067669F">
              <w:rPr>
                <w:rFonts w:ascii="Arial" w:hAnsi="Arial" w:cs="Arial"/>
                <w:b/>
                <w:bCs/>
                <w:sz w:val="20"/>
                <w:lang w:eastAsia="bg-BG"/>
              </w:rPr>
              <w:t>Финансова автономност:</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69AC46C8"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711" w:type="dxa"/>
            <w:tcBorders>
              <w:top w:val="nil"/>
              <w:left w:val="nil"/>
              <w:bottom w:val="single" w:sz="4" w:space="0" w:color="auto"/>
              <w:right w:val="single" w:sz="4" w:space="0" w:color="auto"/>
            </w:tcBorders>
            <w:shd w:val="clear" w:color="auto" w:fill="auto"/>
            <w:noWrap/>
            <w:vAlign w:val="bottom"/>
            <w:hideMark/>
          </w:tcPr>
          <w:p w14:paraId="11245242"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1814" w:type="dxa"/>
            <w:tcBorders>
              <w:top w:val="nil"/>
              <w:left w:val="nil"/>
              <w:bottom w:val="single" w:sz="4" w:space="0" w:color="auto"/>
              <w:right w:val="single" w:sz="4" w:space="0" w:color="auto"/>
            </w:tcBorders>
            <w:shd w:val="clear" w:color="auto" w:fill="auto"/>
            <w:noWrap/>
            <w:vAlign w:val="bottom"/>
            <w:hideMark/>
          </w:tcPr>
          <w:p w14:paraId="39745B29"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c>
          <w:tcPr>
            <w:tcW w:w="899" w:type="dxa"/>
            <w:tcBorders>
              <w:top w:val="nil"/>
              <w:left w:val="nil"/>
              <w:bottom w:val="single" w:sz="4" w:space="0" w:color="auto"/>
              <w:right w:val="single" w:sz="4" w:space="0" w:color="auto"/>
            </w:tcBorders>
            <w:shd w:val="clear" w:color="auto" w:fill="auto"/>
            <w:noWrap/>
            <w:vAlign w:val="bottom"/>
            <w:hideMark/>
          </w:tcPr>
          <w:p w14:paraId="3FD9FBAD"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w:t>
            </w:r>
          </w:p>
        </w:tc>
      </w:tr>
      <w:tr w:rsidR="0067669F" w:rsidRPr="0067669F" w14:paraId="218ABCAE"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0F2771D6"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10</w:t>
            </w:r>
          </w:p>
        </w:tc>
        <w:tc>
          <w:tcPr>
            <w:tcW w:w="3376" w:type="dxa"/>
            <w:tcBorders>
              <w:top w:val="nil"/>
              <w:left w:val="nil"/>
              <w:bottom w:val="single" w:sz="4" w:space="0" w:color="auto"/>
              <w:right w:val="nil"/>
            </w:tcBorders>
            <w:shd w:val="clear" w:color="auto" w:fill="auto"/>
            <w:noWrap/>
            <w:vAlign w:val="bottom"/>
            <w:hideMark/>
          </w:tcPr>
          <w:p w14:paraId="7746DF67"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Финансова автономност</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74F56940"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42,3718 </w:t>
            </w:r>
          </w:p>
        </w:tc>
        <w:tc>
          <w:tcPr>
            <w:tcW w:w="1711" w:type="dxa"/>
            <w:tcBorders>
              <w:top w:val="nil"/>
              <w:left w:val="nil"/>
              <w:bottom w:val="single" w:sz="4" w:space="0" w:color="auto"/>
              <w:right w:val="single" w:sz="4" w:space="0" w:color="auto"/>
            </w:tcBorders>
            <w:shd w:val="clear" w:color="auto" w:fill="auto"/>
            <w:noWrap/>
            <w:vAlign w:val="bottom"/>
            <w:hideMark/>
          </w:tcPr>
          <w:p w14:paraId="05D3BFC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44,3559 </w:t>
            </w:r>
          </w:p>
        </w:tc>
        <w:tc>
          <w:tcPr>
            <w:tcW w:w="1814" w:type="dxa"/>
            <w:tcBorders>
              <w:top w:val="nil"/>
              <w:left w:val="nil"/>
              <w:bottom w:val="single" w:sz="4" w:space="0" w:color="auto"/>
              <w:right w:val="single" w:sz="4" w:space="0" w:color="auto"/>
            </w:tcBorders>
            <w:shd w:val="clear" w:color="auto" w:fill="auto"/>
            <w:noWrap/>
            <w:vAlign w:val="bottom"/>
            <w:hideMark/>
          </w:tcPr>
          <w:p w14:paraId="276FFA33"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(1,9841)</w:t>
            </w:r>
          </w:p>
        </w:tc>
        <w:tc>
          <w:tcPr>
            <w:tcW w:w="899" w:type="dxa"/>
            <w:tcBorders>
              <w:top w:val="nil"/>
              <w:left w:val="nil"/>
              <w:bottom w:val="single" w:sz="4" w:space="0" w:color="auto"/>
              <w:right w:val="single" w:sz="4" w:space="0" w:color="auto"/>
            </w:tcBorders>
            <w:shd w:val="clear" w:color="auto" w:fill="auto"/>
            <w:noWrap/>
            <w:vAlign w:val="bottom"/>
            <w:hideMark/>
          </w:tcPr>
          <w:p w14:paraId="0DDE3B04"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-4%</w:t>
            </w:r>
          </w:p>
        </w:tc>
      </w:tr>
      <w:tr w:rsidR="0067669F" w:rsidRPr="0067669F" w14:paraId="6DECCB28" w14:textId="77777777" w:rsidTr="0067669F">
        <w:trPr>
          <w:trHeight w:val="255"/>
        </w:trPr>
        <w:tc>
          <w:tcPr>
            <w:tcW w:w="309" w:type="dxa"/>
            <w:tcBorders>
              <w:top w:val="nil"/>
              <w:left w:val="single" w:sz="4" w:space="0" w:color="auto"/>
              <w:bottom w:val="single" w:sz="4" w:space="0" w:color="auto"/>
              <w:right w:val="single" w:sz="4" w:space="0" w:color="auto"/>
            </w:tcBorders>
            <w:shd w:val="clear" w:color="auto" w:fill="auto"/>
            <w:noWrap/>
            <w:vAlign w:val="bottom"/>
            <w:hideMark/>
          </w:tcPr>
          <w:p w14:paraId="627529D6" w14:textId="77777777" w:rsidR="0067669F" w:rsidRPr="0067669F" w:rsidRDefault="0067669F" w:rsidP="0067669F">
            <w:pPr>
              <w:jc w:val="center"/>
              <w:rPr>
                <w:rFonts w:ascii="Arial" w:hAnsi="Arial" w:cs="Arial"/>
                <w:sz w:val="20"/>
                <w:lang w:eastAsia="bg-BG"/>
              </w:rPr>
            </w:pPr>
            <w:r w:rsidRPr="0067669F">
              <w:rPr>
                <w:rFonts w:ascii="Arial" w:hAnsi="Arial" w:cs="Arial"/>
                <w:sz w:val="20"/>
                <w:lang w:eastAsia="bg-BG"/>
              </w:rPr>
              <w:t>11</w:t>
            </w:r>
          </w:p>
        </w:tc>
        <w:tc>
          <w:tcPr>
            <w:tcW w:w="3376" w:type="dxa"/>
            <w:tcBorders>
              <w:top w:val="nil"/>
              <w:left w:val="nil"/>
              <w:bottom w:val="single" w:sz="4" w:space="0" w:color="auto"/>
              <w:right w:val="nil"/>
            </w:tcBorders>
            <w:shd w:val="clear" w:color="auto" w:fill="auto"/>
            <w:noWrap/>
            <w:vAlign w:val="bottom"/>
            <w:hideMark/>
          </w:tcPr>
          <w:p w14:paraId="43D2F3A6"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Задлъжнялост</w:t>
            </w: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0ED9F948"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0,0236 </w:t>
            </w:r>
          </w:p>
        </w:tc>
        <w:tc>
          <w:tcPr>
            <w:tcW w:w="1711" w:type="dxa"/>
            <w:tcBorders>
              <w:top w:val="nil"/>
              <w:left w:val="nil"/>
              <w:bottom w:val="single" w:sz="4" w:space="0" w:color="auto"/>
              <w:right w:val="single" w:sz="4" w:space="0" w:color="auto"/>
            </w:tcBorders>
            <w:shd w:val="clear" w:color="auto" w:fill="auto"/>
            <w:noWrap/>
            <w:vAlign w:val="bottom"/>
            <w:hideMark/>
          </w:tcPr>
          <w:p w14:paraId="5B3CE7B1"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0,0225 </w:t>
            </w:r>
          </w:p>
        </w:tc>
        <w:tc>
          <w:tcPr>
            <w:tcW w:w="1814" w:type="dxa"/>
            <w:tcBorders>
              <w:top w:val="nil"/>
              <w:left w:val="nil"/>
              <w:bottom w:val="single" w:sz="4" w:space="0" w:color="auto"/>
              <w:right w:val="single" w:sz="4" w:space="0" w:color="auto"/>
            </w:tcBorders>
            <w:shd w:val="clear" w:color="auto" w:fill="auto"/>
            <w:noWrap/>
            <w:vAlign w:val="bottom"/>
            <w:hideMark/>
          </w:tcPr>
          <w:p w14:paraId="4A915568" w14:textId="77777777" w:rsidR="0067669F" w:rsidRPr="0067669F" w:rsidRDefault="0067669F" w:rsidP="0067669F">
            <w:pPr>
              <w:jc w:val="left"/>
              <w:rPr>
                <w:rFonts w:ascii="Arial" w:hAnsi="Arial" w:cs="Arial"/>
                <w:sz w:val="20"/>
                <w:lang w:eastAsia="bg-BG"/>
              </w:rPr>
            </w:pPr>
            <w:r w:rsidRPr="0067669F">
              <w:rPr>
                <w:rFonts w:ascii="Arial" w:hAnsi="Arial" w:cs="Arial"/>
                <w:sz w:val="20"/>
                <w:lang w:eastAsia="bg-BG"/>
              </w:rPr>
              <w:t xml:space="preserve">            0,0011 </w:t>
            </w:r>
          </w:p>
        </w:tc>
        <w:tc>
          <w:tcPr>
            <w:tcW w:w="899" w:type="dxa"/>
            <w:tcBorders>
              <w:top w:val="nil"/>
              <w:left w:val="nil"/>
              <w:bottom w:val="single" w:sz="4" w:space="0" w:color="auto"/>
              <w:right w:val="single" w:sz="4" w:space="0" w:color="auto"/>
            </w:tcBorders>
            <w:shd w:val="clear" w:color="auto" w:fill="auto"/>
            <w:noWrap/>
            <w:vAlign w:val="bottom"/>
            <w:hideMark/>
          </w:tcPr>
          <w:p w14:paraId="44864408" w14:textId="77777777" w:rsidR="0067669F" w:rsidRPr="0067669F" w:rsidRDefault="0067669F" w:rsidP="0067669F">
            <w:pPr>
              <w:jc w:val="right"/>
              <w:rPr>
                <w:rFonts w:ascii="Arial" w:hAnsi="Arial" w:cs="Arial"/>
                <w:sz w:val="20"/>
                <w:lang w:eastAsia="bg-BG"/>
              </w:rPr>
            </w:pPr>
            <w:r w:rsidRPr="0067669F">
              <w:rPr>
                <w:rFonts w:ascii="Arial" w:hAnsi="Arial" w:cs="Arial"/>
                <w:sz w:val="20"/>
                <w:lang w:eastAsia="bg-BG"/>
              </w:rPr>
              <w:t>5%</w:t>
            </w:r>
          </w:p>
        </w:tc>
      </w:tr>
    </w:tbl>
    <w:p w14:paraId="6938F094" w14:textId="1912B099" w:rsidR="00D43EF2" w:rsidRDefault="00D43EF2">
      <w:pPr>
        <w:rPr>
          <w:rFonts w:ascii="Arial" w:hAnsi="Arial" w:cs="Arial"/>
          <w:sz w:val="20"/>
        </w:rPr>
      </w:pPr>
    </w:p>
    <w:sectPr w:rsidR="00D43EF2" w:rsidSect="00663CB5">
      <w:headerReference w:type="default" r:id="rId11"/>
      <w:footerReference w:type="default" r:id="rId12"/>
      <w:footerReference w:type="first" r:id="rId13"/>
      <w:pgSz w:w="11906" w:h="16838" w:code="9"/>
      <w:pgMar w:top="1418" w:right="1021" w:bottom="1418" w:left="1418"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F7F4" w14:textId="77777777" w:rsidR="00973CB0" w:rsidRDefault="00973CB0">
      <w:r>
        <w:separator/>
      </w:r>
    </w:p>
  </w:endnote>
  <w:endnote w:type="continuationSeparator" w:id="0">
    <w:p w14:paraId="11028915" w14:textId="77777777" w:rsidR="00973CB0" w:rsidRDefault="0097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UAlbertina">
    <w:altName w:val="Arial"/>
    <w:panose1 w:val="00000000000000000000"/>
    <w:charset w:val="CC"/>
    <w:family w:val="roman"/>
    <w:notTrueType/>
    <w:pitch w:val="default"/>
    <w:sig w:usb0="00000203" w:usb1="00000000" w:usb2="00000000" w:usb3="00000000" w:csb0="00000005" w:csb1="00000000"/>
  </w:font>
  <w:font w:name="EYInterstate Light">
    <w:altName w:val="Times New Roman"/>
    <w:charset w:val="CC"/>
    <w:family w:val="auto"/>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420882"/>
      <w:docPartObj>
        <w:docPartGallery w:val="Page Numbers (Bottom of Page)"/>
        <w:docPartUnique/>
      </w:docPartObj>
    </w:sdtPr>
    <w:sdtContent>
      <w:p w14:paraId="7E4C7A8D" w14:textId="2B7EA5D4" w:rsidR="0067669F" w:rsidRDefault="0067669F">
        <w:pPr>
          <w:pStyle w:val="Footer"/>
          <w:jc w:val="right"/>
        </w:pPr>
        <w:r>
          <w:fldChar w:fldCharType="begin"/>
        </w:r>
        <w:r>
          <w:instrText>PAGE   \* MERGEFORMAT</w:instrText>
        </w:r>
        <w:r>
          <w:fldChar w:fldCharType="separate"/>
        </w:r>
        <w:r w:rsidR="00476B26">
          <w:rPr>
            <w:noProof/>
          </w:rPr>
          <w:t>4</w:t>
        </w:r>
        <w:r w:rsidR="00476B26">
          <w:rPr>
            <w:noProof/>
          </w:rPr>
          <w:t>0</w:t>
        </w:r>
        <w:r>
          <w:fldChar w:fldCharType="end"/>
        </w:r>
      </w:p>
    </w:sdtContent>
  </w:sdt>
  <w:p w14:paraId="124B921F" w14:textId="77777777" w:rsidR="0067669F" w:rsidRDefault="00676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2E6AA" w14:textId="765B57E0" w:rsidR="0067669F" w:rsidRDefault="0067669F">
    <w:pPr>
      <w:pStyle w:val="Footer"/>
      <w:jc w:val="right"/>
    </w:pPr>
  </w:p>
  <w:p w14:paraId="7DFFF18A" w14:textId="77777777" w:rsidR="0067669F" w:rsidRDefault="0067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EAEC0" w14:textId="77777777" w:rsidR="00973CB0" w:rsidRDefault="00973CB0">
      <w:r>
        <w:separator/>
      </w:r>
    </w:p>
  </w:footnote>
  <w:footnote w:type="continuationSeparator" w:id="0">
    <w:p w14:paraId="290E1B25" w14:textId="77777777" w:rsidR="00973CB0" w:rsidRDefault="0097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83F9" w14:textId="77777777" w:rsidR="0067669F" w:rsidRPr="005F65B4" w:rsidRDefault="0067669F" w:rsidP="002540C6">
    <w:pPr>
      <w:pStyle w:val="Header"/>
      <w:jc w:val="both"/>
      <w:rPr>
        <w:rFonts w:ascii="Arial" w:hAnsi="Arial" w:cs="Arial"/>
        <w:b/>
        <w:i/>
        <w:sz w:val="18"/>
        <w:szCs w:val="20"/>
      </w:rPr>
    </w:pPr>
    <w:r>
      <w:rPr>
        <w:rFonts w:ascii="Arial" w:hAnsi="Arial" w:cs="Arial"/>
        <w:b/>
        <w:i/>
        <w:sz w:val="18"/>
        <w:szCs w:val="20"/>
      </w:rPr>
      <w:t xml:space="preserve">„ИНФРА ХОЛДИНГ“ </w:t>
    </w:r>
    <w:r w:rsidRPr="005F65B4">
      <w:rPr>
        <w:rFonts w:ascii="Arial" w:hAnsi="Arial" w:cs="Arial"/>
        <w:b/>
        <w:i/>
        <w:sz w:val="18"/>
        <w:szCs w:val="20"/>
      </w:rPr>
      <w:t>АД</w:t>
    </w:r>
    <w:r>
      <w:rPr>
        <w:rFonts w:ascii="Arial" w:hAnsi="Arial" w:cs="Arial"/>
        <w:b/>
        <w:i/>
        <w:sz w:val="18"/>
        <w:szCs w:val="20"/>
      </w:rPr>
      <w:t xml:space="preserve">, </w:t>
    </w:r>
  </w:p>
  <w:p w14:paraId="4B25D3E1" w14:textId="4811F6E5" w:rsidR="0067669F" w:rsidRPr="008056B7" w:rsidRDefault="0067669F" w:rsidP="002540C6">
    <w:pPr>
      <w:pStyle w:val="Header"/>
      <w:jc w:val="both"/>
      <w:rPr>
        <w:rFonts w:ascii="Arial" w:hAnsi="Arial" w:cs="Arial"/>
        <w:b/>
        <w:i/>
        <w:sz w:val="18"/>
        <w:szCs w:val="20"/>
      </w:rPr>
    </w:pPr>
    <w:r w:rsidRPr="00923700">
      <w:rPr>
        <w:rFonts w:ascii="Arial" w:hAnsi="Arial" w:cs="Arial"/>
        <w:b/>
        <w:i/>
        <w:sz w:val="18"/>
        <w:szCs w:val="20"/>
      </w:rPr>
      <w:t>Индивидуален</w:t>
    </w:r>
    <w:r>
      <w:rPr>
        <w:rFonts w:ascii="Arial" w:hAnsi="Arial" w:cs="Arial"/>
        <w:b/>
        <w:i/>
        <w:color w:val="FF0000"/>
        <w:sz w:val="18"/>
        <w:szCs w:val="20"/>
      </w:rPr>
      <w:t xml:space="preserve"> </w:t>
    </w:r>
    <w:r w:rsidR="004A1205">
      <w:rPr>
        <w:rFonts w:ascii="Arial" w:hAnsi="Arial" w:cs="Arial"/>
        <w:b/>
        <w:i/>
        <w:sz w:val="18"/>
        <w:szCs w:val="20"/>
      </w:rPr>
      <w:t>междинен</w:t>
    </w:r>
    <w:r w:rsidRPr="002848F9">
      <w:rPr>
        <w:rFonts w:ascii="Arial" w:hAnsi="Arial" w:cs="Arial"/>
        <w:b/>
        <w:i/>
        <w:sz w:val="18"/>
        <w:szCs w:val="20"/>
      </w:rPr>
      <w:t xml:space="preserve"> </w:t>
    </w:r>
    <w:r>
      <w:rPr>
        <w:rFonts w:ascii="Arial" w:hAnsi="Arial" w:cs="Arial"/>
        <w:b/>
        <w:i/>
        <w:sz w:val="18"/>
        <w:szCs w:val="20"/>
      </w:rPr>
      <w:t>ф</w:t>
    </w:r>
    <w:r w:rsidRPr="005F65B4">
      <w:rPr>
        <w:rFonts w:ascii="Arial" w:hAnsi="Arial" w:cs="Arial"/>
        <w:b/>
        <w:i/>
        <w:sz w:val="18"/>
        <w:szCs w:val="20"/>
      </w:rPr>
      <w:t xml:space="preserve">инансов отчет за </w:t>
    </w:r>
    <w:r>
      <w:rPr>
        <w:rFonts w:ascii="Arial" w:hAnsi="Arial" w:cs="Arial"/>
        <w:b/>
        <w:i/>
        <w:sz w:val="18"/>
        <w:szCs w:val="20"/>
      </w:rPr>
      <w:t>периода,</w:t>
    </w:r>
    <w:r w:rsidRPr="005F65B4">
      <w:rPr>
        <w:rFonts w:ascii="Arial" w:hAnsi="Arial" w:cs="Arial"/>
        <w:b/>
        <w:i/>
        <w:sz w:val="18"/>
        <w:szCs w:val="20"/>
      </w:rPr>
      <w:t xml:space="preserve"> завършващ</w:t>
    </w:r>
    <w:r>
      <w:rPr>
        <w:rFonts w:ascii="Arial" w:hAnsi="Arial" w:cs="Arial"/>
        <w:b/>
        <w:i/>
        <w:sz w:val="18"/>
        <w:szCs w:val="20"/>
      </w:rPr>
      <w:t xml:space="preserve"> на</w:t>
    </w:r>
    <w:r w:rsidRPr="005F65B4">
      <w:rPr>
        <w:rFonts w:ascii="Arial" w:hAnsi="Arial" w:cs="Arial"/>
        <w:b/>
        <w:i/>
        <w:sz w:val="18"/>
        <w:szCs w:val="20"/>
      </w:rPr>
      <w:t xml:space="preserve"> </w:t>
    </w:r>
    <w:r>
      <w:rPr>
        <w:rFonts w:ascii="Arial" w:hAnsi="Arial" w:cs="Arial"/>
        <w:b/>
        <w:i/>
        <w:sz w:val="18"/>
        <w:szCs w:val="20"/>
        <w:lang w:val="en-US"/>
      </w:rPr>
      <w:t>3</w:t>
    </w:r>
    <w:r>
      <w:rPr>
        <w:rFonts w:ascii="Arial" w:hAnsi="Arial" w:cs="Arial"/>
        <w:b/>
        <w:i/>
        <w:sz w:val="18"/>
        <w:szCs w:val="20"/>
      </w:rPr>
      <w:t>0</w:t>
    </w:r>
    <w:r>
      <w:rPr>
        <w:rFonts w:ascii="Arial" w:hAnsi="Arial" w:cs="Arial"/>
        <w:b/>
        <w:i/>
        <w:sz w:val="18"/>
        <w:szCs w:val="20"/>
        <w:lang w:val="en-US"/>
      </w:rPr>
      <w:t xml:space="preserve"> </w:t>
    </w:r>
    <w:r>
      <w:rPr>
        <w:rFonts w:ascii="Arial" w:hAnsi="Arial" w:cs="Arial"/>
        <w:b/>
        <w:i/>
        <w:sz w:val="18"/>
        <w:szCs w:val="20"/>
      </w:rPr>
      <w:t>Юни 2024</w:t>
    </w:r>
  </w:p>
  <w:p w14:paraId="053E3236" w14:textId="77777777" w:rsidR="0067669F" w:rsidRPr="00B165BB" w:rsidRDefault="0067669F">
    <w:pPr>
      <w:pStyle w:val="Header"/>
      <w:rPr>
        <w:b/>
        <w:lang w:val="en-US"/>
      </w:rPr>
    </w:pPr>
    <w:r w:rsidRPr="00623F94">
      <w:rPr>
        <w:b/>
      </w:rPr>
      <w:t>____</w:t>
    </w:r>
    <w:r>
      <w:rPr>
        <w:b/>
      </w:rPr>
      <w:t>_________________________________________</w:t>
    </w:r>
    <w:r>
      <w:rPr>
        <w:b/>
        <w:lang w:val="en-US"/>
      </w:rPr>
      <w:t>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28C"/>
    <w:multiLevelType w:val="hybridMultilevel"/>
    <w:tmpl w:val="5A0A97BC"/>
    <w:lvl w:ilvl="0" w:tplc="0402000D">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 w15:restartNumberingAfterBreak="0">
    <w:nsid w:val="004C1CA7"/>
    <w:multiLevelType w:val="hybridMultilevel"/>
    <w:tmpl w:val="C9CE83A0"/>
    <w:lvl w:ilvl="0" w:tplc="CD3CF5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65AF"/>
    <w:multiLevelType w:val="hybridMultilevel"/>
    <w:tmpl w:val="5E22CC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9512E4"/>
    <w:multiLevelType w:val="hybridMultilevel"/>
    <w:tmpl w:val="B086A5D4"/>
    <w:lvl w:ilvl="0" w:tplc="04020001">
      <w:start w:val="1"/>
      <w:numFmt w:val="bullet"/>
      <w:lvlText w:val=""/>
      <w:lvlJc w:val="left"/>
      <w:pPr>
        <w:tabs>
          <w:tab w:val="num" w:pos="1020"/>
        </w:tabs>
        <w:ind w:left="10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95559"/>
    <w:multiLevelType w:val="hybridMultilevel"/>
    <w:tmpl w:val="1D90707E"/>
    <w:lvl w:ilvl="0" w:tplc="00F63400">
      <w:start w:val="1"/>
      <w:numFmt w:val="bullet"/>
      <w:lvlText w:val="•"/>
      <w:lvlJc w:val="left"/>
      <w:pPr>
        <w:tabs>
          <w:tab w:val="num" w:pos="720"/>
        </w:tabs>
        <w:ind w:left="720" w:hanging="360"/>
      </w:pPr>
      <w:rPr>
        <w:rFonts w:ascii="Arial" w:hAnsi="Arial" w:hint="default"/>
      </w:rPr>
    </w:lvl>
    <w:lvl w:ilvl="1" w:tplc="5FC6B1D2">
      <w:start w:val="617"/>
      <w:numFmt w:val="bullet"/>
      <w:lvlText w:val="–"/>
      <w:lvlJc w:val="left"/>
      <w:pPr>
        <w:tabs>
          <w:tab w:val="num" w:pos="1440"/>
        </w:tabs>
        <w:ind w:left="1440" w:hanging="360"/>
      </w:pPr>
      <w:rPr>
        <w:rFonts w:ascii="Arial" w:hAnsi="Arial" w:hint="default"/>
      </w:rPr>
    </w:lvl>
    <w:lvl w:ilvl="2" w:tplc="52029350" w:tentative="1">
      <w:start w:val="1"/>
      <w:numFmt w:val="bullet"/>
      <w:lvlText w:val="•"/>
      <w:lvlJc w:val="left"/>
      <w:pPr>
        <w:tabs>
          <w:tab w:val="num" w:pos="2160"/>
        </w:tabs>
        <w:ind w:left="2160" w:hanging="360"/>
      </w:pPr>
      <w:rPr>
        <w:rFonts w:ascii="Arial" w:hAnsi="Arial" w:hint="default"/>
      </w:rPr>
    </w:lvl>
    <w:lvl w:ilvl="3" w:tplc="021ADCD4" w:tentative="1">
      <w:start w:val="1"/>
      <w:numFmt w:val="bullet"/>
      <w:lvlText w:val="•"/>
      <w:lvlJc w:val="left"/>
      <w:pPr>
        <w:tabs>
          <w:tab w:val="num" w:pos="2880"/>
        </w:tabs>
        <w:ind w:left="2880" w:hanging="360"/>
      </w:pPr>
      <w:rPr>
        <w:rFonts w:ascii="Arial" w:hAnsi="Arial" w:hint="default"/>
      </w:rPr>
    </w:lvl>
    <w:lvl w:ilvl="4" w:tplc="41D26D82" w:tentative="1">
      <w:start w:val="1"/>
      <w:numFmt w:val="bullet"/>
      <w:lvlText w:val="•"/>
      <w:lvlJc w:val="left"/>
      <w:pPr>
        <w:tabs>
          <w:tab w:val="num" w:pos="3600"/>
        </w:tabs>
        <w:ind w:left="3600" w:hanging="360"/>
      </w:pPr>
      <w:rPr>
        <w:rFonts w:ascii="Arial" w:hAnsi="Arial" w:hint="default"/>
      </w:rPr>
    </w:lvl>
    <w:lvl w:ilvl="5" w:tplc="A7224E1C" w:tentative="1">
      <w:start w:val="1"/>
      <w:numFmt w:val="bullet"/>
      <w:lvlText w:val="•"/>
      <w:lvlJc w:val="left"/>
      <w:pPr>
        <w:tabs>
          <w:tab w:val="num" w:pos="4320"/>
        </w:tabs>
        <w:ind w:left="4320" w:hanging="360"/>
      </w:pPr>
      <w:rPr>
        <w:rFonts w:ascii="Arial" w:hAnsi="Arial" w:hint="default"/>
      </w:rPr>
    </w:lvl>
    <w:lvl w:ilvl="6" w:tplc="1D06BFD4" w:tentative="1">
      <w:start w:val="1"/>
      <w:numFmt w:val="bullet"/>
      <w:lvlText w:val="•"/>
      <w:lvlJc w:val="left"/>
      <w:pPr>
        <w:tabs>
          <w:tab w:val="num" w:pos="5040"/>
        </w:tabs>
        <w:ind w:left="5040" w:hanging="360"/>
      </w:pPr>
      <w:rPr>
        <w:rFonts w:ascii="Arial" w:hAnsi="Arial" w:hint="default"/>
      </w:rPr>
    </w:lvl>
    <w:lvl w:ilvl="7" w:tplc="D2ACBE2A" w:tentative="1">
      <w:start w:val="1"/>
      <w:numFmt w:val="bullet"/>
      <w:lvlText w:val="•"/>
      <w:lvlJc w:val="left"/>
      <w:pPr>
        <w:tabs>
          <w:tab w:val="num" w:pos="5760"/>
        </w:tabs>
        <w:ind w:left="5760" w:hanging="360"/>
      </w:pPr>
      <w:rPr>
        <w:rFonts w:ascii="Arial" w:hAnsi="Arial" w:hint="default"/>
      </w:rPr>
    </w:lvl>
    <w:lvl w:ilvl="8" w:tplc="CE38CB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BB7F6E"/>
    <w:multiLevelType w:val="hybridMultilevel"/>
    <w:tmpl w:val="E880F8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E704D"/>
    <w:multiLevelType w:val="multilevel"/>
    <w:tmpl w:val="1406A0E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7E470F"/>
    <w:multiLevelType w:val="hybridMultilevel"/>
    <w:tmpl w:val="8FB825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4173584"/>
    <w:multiLevelType w:val="hybridMultilevel"/>
    <w:tmpl w:val="EE4437D2"/>
    <w:lvl w:ilvl="0" w:tplc="16C25EB0">
      <w:start w:val="1"/>
      <w:numFmt w:val="decimal"/>
      <w:lvlText w:val="%1)"/>
      <w:lvlJc w:val="left"/>
      <w:pPr>
        <w:tabs>
          <w:tab w:val="num" w:pos="1211"/>
        </w:tabs>
        <w:ind w:left="1211" w:hanging="360"/>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start w:val="1"/>
      <w:numFmt w:val="lowerRoman"/>
      <w:lvlText w:val="%3."/>
      <w:lvlJc w:val="right"/>
      <w:pPr>
        <w:tabs>
          <w:tab w:val="num" w:pos="2520"/>
        </w:tabs>
        <w:ind w:left="2520" w:hanging="180"/>
      </w:pPr>
      <w:rPr>
        <w:rFonts w:cs="Times New Roman"/>
      </w:rPr>
    </w:lvl>
    <w:lvl w:ilvl="3" w:tplc="0402000F">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69A2635"/>
    <w:multiLevelType w:val="hybridMultilevel"/>
    <w:tmpl w:val="E4FE8F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4281046"/>
    <w:multiLevelType w:val="hybridMultilevel"/>
    <w:tmpl w:val="25FA5C46"/>
    <w:lvl w:ilvl="0" w:tplc="04020001">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691E2D"/>
    <w:multiLevelType w:val="hybridMultilevel"/>
    <w:tmpl w:val="92AC5CCC"/>
    <w:lvl w:ilvl="0" w:tplc="F2E4CD3A">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D7152E"/>
    <w:multiLevelType w:val="hybridMultilevel"/>
    <w:tmpl w:val="86C2341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8210D7E"/>
    <w:multiLevelType w:val="hybridMultilevel"/>
    <w:tmpl w:val="05C84C4A"/>
    <w:lvl w:ilvl="0" w:tplc="23BEA4C8">
      <w:start w:val="34"/>
      <w:numFmt w:val="decimal"/>
      <w:lvlText w:val="%1."/>
      <w:lvlJc w:val="left"/>
      <w:pPr>
        <w:ind w:left="1080" w:hanging="360"/>
      </w:pPr>
      <w:rPr>
        <w:rFonts w:hint="default"/>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8861CC8"/>
    <w:multiLevelType w:val="hybridMultilevel"/>
    <w:tmpl w:val="C91E15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04C6DF1"/>
    <w:multiLevelType w:val="hybridMultilevel"/>
    <w:tmpl w:val="B2A4F060"/>
    <w:lvl w:ilvl="0" w:tplc="33E8AD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21902C5"/>
    <w:multiLevelType w:val="hybridMultilevel"/>
    <w:tmpl w:val="BFEC5884"/>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35A175A"/>
    <w:multiLevelType w:val="hybridMultilevel"/>
    <w:tmpl w:val="25B849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9724C74"/>
    <w:multiLevelType w:val="hybridMultilevel"/>
    <w:tmpl w:val="CCE61B1A"/>
    <w:lvl w:ilvl="0" w:tplc="7E54D3B2">
      <w:start w:val="8"/>
      <w:numFmt w:val="decimal"/>
      <w:lvlText w:val="%1."/>
      <w:lvlJc w:val="left"/>
      <w:pPr>
        <w:ind w:left="1080" w:hanging="360"/>
      </w:pPr>
      <w:rPr>
        <w:rFonts w:hint="default"/>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4C66337A"/>
    <w:multiLevelType w:val="hybridMultilevel"/>
    <w:tmpl w:val="05D28E4C"/>
    <w:lvl w:ilvl="0" w:tplc="04090001">
      <w:start w:val="1"/>
      <w:numFmt w:val="bullet"/>
      <w:lvlText w:val=""/>
      <w:lvlJc w:val="left"/>
      <w:pPr>
        <w:tabs>
          <w:tab w:val="num" w:pos="1080"/>
        </w:tabs>
        <w:ind w:left="1080" w:hanging="360"/>
      </w:pPr>
      <w:rPr>
        <w:rFonts w:ascii="Symbol" w:hAnsi="Symbol"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CDD027A"/>
    <w:multiLevelType w:val="hybridMultilevel"/>
    <w:tmpl w:val="40F0936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2927F2"/>
    <w:multiLevelType w:val="hybridMultilevel"/>
    <w:tmpl w:val="5472ED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59F7A98"/>
    <w:multiLevelType w:val="hybridMultilevel"/>
    <w:tmpl w:val="ECA62574"/>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D5E32A2"/>
    <w:multiLevelType w:val="hybridMultilevel"/>
    <w:tmpl w:val="1F10F73A"/>
    <w:lvl w:ilvl="0" w:tplc="0402000F">
      <w:start w:val="1"/>
      <w:numFmt w:val="decimal"/>
      <w:lvlText w:val="%1."/>
      <w:lvlJc w:val="left"/>
      <w:pPr>
        <w:tabs>
          <w:tab w:val="num" w:pos="540"/>
        </w:tabs>
        <w:ind w:left="54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BCF2FFB"/>
    <w:multiLevelType w:val="hybridMultilevel"/>
    <w:tmpl w:val="F468B96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33F0F39"/>
    <w:multiLevelType w:val="hybridMultilevel"/>
    <w:tmpl w:val="61FC659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4B211C8"/>
    <w:multiLevelType w:val="multilevel"/>
    <w:tmpl w:val="C44AD05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F5217D"/>
    <w:multiLevelType w:val="hybridMultilevel"/>
    <w:tmpl w:val="143816C0"/>
    <w:lvl w:ilvl="0" w:tplc="106C6F2A">
      <w:start w:val="155"/>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54905529">
    <w:abstractNumId w:val="25"/>
  </w:num>
  <w:num w:numId="2" w16cid:durableId="1779372846">
    <w:abstractNumId w:val="5"/>
  </w:num>
  <w:num w:numId="3" w16cid:durableId="857620458">
    <w:abstractNumId w:val="17"/>
  </w:num>
  <w:num w:numId="4" w16cid:durableId="318120928">
    <w:abstractNumId w:val="9"/>
  </w:num>
  <w:num w:numId="5" w16cid:durableId="1333216678">
    <w:abstractNumId w:val="14"/>
  </w:num>
  <w:num w:numId="6" w16cid:durableId="287900531">
    <w:abstractNumId w:val="2"/>
  </w:num>
  <w:num w:numId="7" w16cid:durableId="1923101425">
    <w:abstractNumId w:val="21"/>
  </w:num>
  <w:num w:numId="8" w16cid:durableId="817307874">
    <w:abstractNumId w:val="0"/>
  </w:num>
  <w:num w:numId="9" w16cid:durableId="1952009276">
    <w:abstractNumId w:val="4"/>
  </w:num>
  <w:num w:numId="10" w16cid:durableId="437259998">
    <w:abstractNumId w:val="7"/>
  </w:num>
  <w:num w:numId="11" w16cid:durableId="361899285">
    <w:abstractNumId w:val="12"/>
  </w:num>
  <w:num w:numId="12" w16cid:durableId="973096963">
    <w:abstractNumId w:val="24"/>
  </w:num>
  <w:num w:numId="13" w16cid:durableId="690646177">
    <w:abstractNumId w:val="15"/>
  </w:num>
  <w:num w:numId="14" w16cid:durableId="1775133560">
    <w:abstractNumId w:val="27"/>
  </w:num>
  <w:num w:numId="15" w16cid:durableId="970481218">
    <w:abstractNumId w:val="10"/>
  </w:num>
  <w:num w:numId="16" w16cid:durableId="20173474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05561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6268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96350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8045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5092974">
    <w:abstractNumId w:val="20"/>
  </w:num>
  <w:num w:numId="22" w16cid:durableId="56402497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9905782">
    <w:abstractNumId w:val="16"/>
  </w:num>
  <w:num w:numId="24" w16cid:durableId="1394232960">
    <w:abstractNumId w:val="26"/>
  </w:num>
  <w:num w:numId="25" w16cid:durableId="131793211">
    <w:abstractNumId w:val="13"/>
  </w:num>
  <w:num w:numId="26" w16cid:durableId="435905564">
    <w:abstractNumId w:val="18"/>
  </w:num>
  <w:num w:numId="27" w16cid:durableId="1516269513">
    <w:abstractNumId w:val="6"/>
  </w:num>
  <w:num w:numId="28" w16cid:durableId="170906552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DF8"/>
    <w:rsid w:val="000025D6"/>
    <w:rsid w:val="00003402"/>
    <w:rsid w:val="00007ECD"/>
    <w:rsid w:val="000143BB"/>
    <w:rsid w:val="000150B6"/>
    <w:rsid w:val="0001633D"/>
    <w:rsid w:val="00020942"/>
    <w:rsid w:val="000211F9"/>
    <w:rsid w:val="00021380"/>
    <w:rsid w:val="00021CD8"/>
    <w:rsid w:val="00024287"/>
    <w:rsid w:val="00026659"/>
    <w:rsid w:val="00031575"/>
    <w:rsid w:val="00032A01"/>
    <w:rsid w:val="00033FA6"/>
    <w:rsid w:val="0003509F"/>
    <w:rsid w:val="0003656C"/>
    <w:rsid w:val="00036F57"/>
    <w:rsid w:val="00042F9E"/>
    <w:rsid w:val="0004366A"/>
    <w:rsid w:val="0004680F"/>
    <w:rsid w:val="00054D61"/>
    <w:rsid w:val="000551C3"/>
    <w:rsid w:val="00055777"/>
    <w:rsid w:val="000562F1"/>
    <w:rsid w:val="00057688"/>
    <w:rsid w:val="00057C67"/>
    <w:rsid w:val="00060BBB"/>
    <w:rsid w:val="00061205"/>
    <w:rsid w:val="00061274"/>
    <w:rsid w:val="00061563"/>
    <w:rsid w:val="00061737"/>
    <w:rsid w:val="00070C4E"/>
    <w:rsid w:val="000721BA"/>
    <w:rsid w:val="00072AEC"/>
    <w:rsid w:val="000745B3"/>
    <w:rsid w:val="00076522"/>
    <w:rsid w:val="00083BA2"/>
    <w:rsid w:val="00084B1B"/>
    <w:rsid w:val="00090D9E"/>
    <w:rsid w:val="00092FB1"/>
    <w:rsid w:val="000A2467"/>
    <w:rsid w:val="000A2CD0"/>
    <w:rsid w:val="000B0499"/>
    <w:rsid w:val="000B1CD9"/>
    <w:rsid w:val="000B1D14"/>
    <w:rsid w:val="000B40BE"/>
    <w:rsid w:val="000B75C7"/>
    <w:rsid w:val="000C0897"/>
    <w:rsid w:val="000C0A89"/>
    <w:rsid w:val="000C1F39"/>
    <w:rsid w:val="000C2A87"/>
    <w:rsid w:val="000C2BB5"/>
    <w:rsid w:val="000C3178"/>
    <w:rsid w:val="000C3E77"/>
    <w:rsid w:val="000D0402"/>
    <w:rsid w:val="000D3143"/>
    <w:rsid w:val="000D62D5"/>
    <w:rsid w:val="000E0567"/>
    <w:rsid w:val="000E0D04"/>
    <w:rsid w:val="000E4B4C"/>
    <w:rsid w:val="000E541E"/>
    <w:rsid w:val="000E6F8C"/>
    <w:rsid w:val="000F0682"/>
    <w:rsid w:val="000F2A01"/>
    <w:rsid w:val="000F4833"/>
    <w:rsid w:val="000F632F"/>
    <w:rsid w:val="000F643F"/>
    <w:rsid w:val="000F77E7"/>
    <w:rsid w:val="001009D0"/>
    <w:rsid w:val="00102504"/>
    <w:rsid w:val="0010384E"/>
    <w:rsid w:val="001039F1"/>
    <w:rsid w:val="00103DA2"/>
    <w:rsid w:val="001107A1"/>
    <w:rsid w:val="001111EA"/>
    <w:rsid w:val="00116896"/>
    <w:rsid w:val="0012513F"/>
    <w:rsid w:val="001368AF"/>
    <w:rsid w:val="00136E1F"/>
    <w:rsid w:val="001375A3"/>
    <w:rsid w:val="00137B0F"/>
    <w:rsid w:val="00141B59"/>
    <w:rsid w:val="00144384"/>
    <w:rsid w:val="00146B90"/>
    <w:rsid w:val="001508DB"/>
    <w:rsid w:val="001517AA"/>
    <w:rsid w:val="00154CE3"/>
    <w:rsid w:val="00156AA9"/>
    <w:rsid w:val="00162E6C"/>
    <w:rsid w:val="00165AE3"/>
    <w:rsid w:val="0017365D"/>
    <w:rsid w:val="00174D53"/>
    <w:rsid w:val="001761F5"/>
    <w:rsid w:val="00176853"/>
    <w:rsid w:val="00180BC2"/>
    <w:rsid w:val="00187AF2"/>
    <w:rsid w:val="001902B5"/>
    <w:rsid w:val="0019177E"/>
    <w:rsid w:val="0019267F"/>
    <w:rsid w:val="0019466F"/>
    <w:rsid w:val="00195FFE"/>
    <w:rsid w:val="001962F9"/>
    <w:rsid w:val="001971B4"/>
    <w:rsid w:val="001A1576"/>
    <w:rsid w:val="001A1999"/>
    <w:rsid w:val="001A33FD"/>
    <w:rsid w:val="001A56BB"/>
    <w:rsid w:val="001A57AB"/>
    <w:rsid w:val="001A6DA6"/>
    <w:rsid w:val="001B2901"/>
    <w:rsid w:val="001B2D2E"/>
    <w:rsid w:val="001B3F30"/>
    <w:rsid w:val="001B4E27"/>
    <w:rsid w:val="001C0286"/>
    <w:rsid w:val="001C07A3"/>
    <w:rsid w:val="001C161C"/>
    <w:rsid w:val="001C2D70"/>
    <w:rsid w:val="001C4B85"/>
    <w:rsid w:val="001C5EDA"/>
    <w:rsid w:val="001C638D"/>
    <w:rsid w:val="001C7008"/>
    <w:rsid w:val="001D0288"/>
    <w:rsid w:val="001D2C11"/>
    <w:rsid w:val="001D780E"/>
    <w:rsid w:val="001E09C3"/>
    <w:rsid w:val="001E66FD"/>
    <w:rsid w:val="001F2584"/>
    <w:rsid w:val="001F7841"/>
    <w:rsid w:val="002006A8"/>
    <w:rsid w:val="00205724"/>
    <w:rsid w:val="00207A42"/>
    <w:rsid w:val="002130B2"/>
    <w:rsid w:val="00217144"/>
    <w:rsid w:val="00220E40"/>
    <w:rsid w:val="00221CF1"/>
    <w:rsid w:val="0022746F"/>
    <w:rsid w:val="00227972"/>
    <w:rsid w:val="0023120E"/>
    <w:rsid w:val="00232DBB"/>
    <w:rsid w:val="002345EC"/>
    <w:rsid w:val="00242419"/>
    <w:rsid w:val="002439EE"/>
    <w:rsid w:val="00244DA3"/>
    <w:rsid w:val="00253EF4"/>
    <w:rsid w:val="002540C6"/>
    <w:rsid w:val="0025617E"/>
    <w:rsid w:val="002571A2"/>
    <w:rsid w:val="0026390A"/>
    <w:rsid w:val="00264464"/>
    <w:rsid w:val="002704E1"/>
    <w:rsid w:val="00271A94"/>
    <w:rsid w:val="00271AC7"/>
    <w:rsid w:val="00277511"/>
    <w:rsid w:val="0027786F"/>
    <w:rsid w:val="00280DF6"/>
    <w:rsid w:val="00281B1C"/>
    <w:rsid w:val="002826F9"/>
    <w:rsid w:val="00282A1E"/>
    <w:rsid w:val="00283A7E"/>
    <w:rsid w:val="002848F9"/>
    <w:rsid w:val="00286BC6"/>
    <w:rsid w:val="0028740B"/>
    <w:rsid w:val="00291862"/>
    <w:rsid w:val="002949D9"/>
    <w:rsid w:val="002A2D87"/>
    <w:rsid w:val="002A60DD"/>
    <w:rsid w:val="002A6B37"/>
    <w:rsid w:val="002A6C3A"/>
    <w:rsid w:val="002B03AF"/>
    <w:rsid w:val="002B26DE"/>
    <w:rsid w:val="002B2962"/>
    <w:rsid w:val="002B2B13"/>
    <w:rsid w:val="002B2E78"/>
    <w:rsid w:val="002B7077"/>
    <w:rsid w:val="002C7521"/>
    <w:rsid w:val="002C7C1F"/>
    <w:rsid w:val="002D0F6E"/>
    <w:rsid w:val="002E050C"/>
    <w:rsid w:val="002E3C5E"/>
    <w:rsid w:val="002E5246"/>
    <w:rsid w:val="002F3A52"/>
    <w:rsid w:val="002F7DFE"/>
    <w:rsid w:val="003008BE"/>
    <w:rsid w:val="00303BA6"/>
    <w:rsid w:val="00304A26"/>
    <w:rsid w:val="003055AC"/>
    <w:rsid w:val="00306D9E"/>
    <w:rsid w:val="00311A44"/>
    <w:rsid w:val="0031326B"/>
    <w:rsid w:val="00313C9E"/>
    <w:rsid w:val="00317640"/>
    <w:rsid w:val="00324F7F"/>
    <w:rsid w:val="003312C8"/>
    <w:rsid w:val="00334065"/>
    <w:rsid w:val="00341B34"/>
    <w:rsid w:val="00342616"/>
    <w:rsid w:val="0034555C"/>
    <w:rsid w:val="003465FA"/>
    <w:rsid w:val="00350BBB"/>
    <w:rsid w:val="0035693D"/>
    <w:rsid w:val="00357EBA"/>
    <w:rsid w:val="003615C2"/>
    <w:rsid w:val="00362B1F"/>
    <w:rsid w:val="00363E26"/>
    <w:rsid w:val="00365894"/>
    <w:rsid w:val="003714F1"/>
    <w:rsid w:val="00376A8F"/>
    <w:rsid w:val="003800AF"/>
    <w:rsid w:val="0038040F"/>
    <w:rsid w:val="0038050C"/>
    <w:rsid w:val="00383333"/>
    <w:rsid w:val="003833F6"/>
    <w:rsid w:val="00384AA7"/>
    <w:rsid w:val="00386648"/>
    <w:rsid w:val="00391423"/>
    <w:rsid w:val="00397204"/>
    <w:rsid w:val="003976B2"/>
    <w:rsid w:val="003A1B5D"/>
    <w:rsid w:val="003B089B"/>
    <w:rsid w:val="003B1310"/>
    <w:rsid w:val="003B2C58"/>
    <w:rsid w:val="003B7609"/>
    <w:rsid w:val="003C2B93"/>
    <w:rsid w:val="003C312B"/>
    <w:rsid w:val="003C6078"/>
    <w:rsid w:val="003C65AE"/>
    <w:rsid w:val="003C7828"/>
    <w:rsid w:val="003D442F"/>
    <w:rsid w:val="003D6B60"/>
    <w:rsid w:val="003D7171"/>
    <w:rsid w:val="003E1E58"/>
    <w:rsid w:val="003E4DD0"/>
    <w:rsid w:val="003E63A9"/>
    <w:rsid w:val="003E6621"/>
    <w:rsid w:val="003E7658"/>
    <w:rsid w:val="003F0467"/>
    <w:rsid w:val="003F0CE5"/>
    <w:rsid w:val="003F3A4F"/>
    <w:rsid w:val="003F5B1F"/>
    <w:rsid w:val="003F67E7"/>
    <w:rsid w:val="00402399"/>
    <w:rsid w:val="00411052"/>
    <w:rsid w:val="004110BA"/>
    <w:rsid w:val="00420749"/>
    <w:rsid w:val="00422087"/>
    <w:rsid w:val="00423A90"/>
    <w:rsid w:val="00423AB6"/>
    <w:rsid w:val="00426CBD"/>
    <w:rsid w:val="0042759C"/>
    <w:rsid w:val="00433ECF"/>
    <w:rsid w:val="00436C5B"/>
    <w:rsid w:val="00437025"/>
    <w:rsid w:val="00441781"/>
    <w:rsid w:val="004435F7"/>
    <w:rsid w:val="004460E6"/>
    <w:rsid w:val="00451C20"/>
    <w:rsid w:val="00452584"/>
    <w:rsid w:val="00452960"/>
    <w:rsid w:val="004578F8"/>
    <w:rsid w:val="0046160B"/>
    <w:rsid w:val="0046182B"/>
    <w:rsid w:val="00471007"/>
    <w:rsid w:val="0047194F"/>
    <w:rsid w:val="00472C03"/>
    <w:rsid w:val="0047342D"/>
    <w:rsid w:val="00475846"/>
    <w:rsid w:val="00476B26"/>
    <w:rsid w:val="00477BD4"/>
    <w:rsid w:val="00480BD0"/>
    <w:rsid w:val="004811DC"/>
    <w:rsid w:val="00481B1F"/>
    <w:rsid w:val="00482E75"/>
    <w:rsid w:val="00485C59"/>
    <w:rsid w:val="00485E6E"/>
    <w:rsid w:val="00490113"/>
    <w:rsid w:val="0049164C"/>
    <w:rsid w:val="00492498"/>
    <w:rsid w:val="00492798"/>
    <w:rsid w:val="00496C5B"/>
    <w:rsid w:val="004A1205"/>
    <w:rsid w:val="004A1CD5"/>
    <w:rsid w:val="004A1DC8"/>
    <w:rsid w:val="004A37D4"/>
    <w:rsid w:val="004A3A25"/>
    <w:rsid w:val="004A455B"/>
    <w:rsid w:val="004A74F1"/>
    <w:rsid w:val="004A7B6B"/>
    <w:rsid w:val="004B0CF8"/>
    <w:rsid w:val="004B2492"/>
    <w:rsid w:val="004C4FAC"/>
    <w:rsid w:val="004C6958"/>
    <w:rsid w:val="004C7430"/>
    <w:rsid w:val="004D3B26"/>
    <w:rsid w:val="004D44A3"/>
    <w:rsid w:val="004D7CDF"/>
    <w:rsid w:val="004D7E08"/>
    <w:rsid w:val="004E4417"/>
    <w:rsid w:val="004E4B15"/>
    <w:rsid w:val="004E57D5"/>
    <w:rsid w:val="004F21DD"/>
    <w:rsid w:val="004F4469"/>
    <w:rsid w:val="004F5107"/>
    <w:rsid w:val="004F5FB7"/>
    <w:rsid w:val="0050212D"/>
    <w:rsid w:val="005048E0"/>
    <w:rsid w:val="00504FE4"/>
    <w:rsid w:val="00505849"/>
    <w:rsid w:val="00506EBC"/>
    <w:rsid w:val="00507EF7"/>
    <w:rsid w:val="00511F82"/>
    <w:rsid w:val="005120A1"/>
    <w:rsid w:val="00512CD0"/>
    <w:rsid w:val="00520013"/>
    <w:rsid w:val="0052376F"/>
    <w:rsid w:val="005238D6"/>
    <w:rsid w:val="00525422"/>
    <w:rsid w:val="0052560B"/>
    <w:rsid w:val="00534D00"/>
    <w:rsid w:val="00535B91"/>
    <w:rsid w:val="005365CD"/>
    <w:rsid w:val="0053726D"/>
    <w:rsid w:val="00537CD2"/>
    <w:rsid w:val="005414A7"/>
    <w:rsid w:val="00544A09"/>
    <w:rsid w:val="00547610"/>
    <w:rsid w:val="00550973"/>
    <w:rsid w:val="00556B2F"/>
    <w:rsid w:val="00556D1A"/>
    <w:rsid w:val="00556D7C"/>
    <w:rsid w:val="0055737C"/>
    <w:rsid w:val="00557B4E"/>
    <w:rsid w:val="00571ACE"/>
    <w:rsid w:val="00571DA0"/>
    <w:rsid w:val="00572254"/>
    <w:rsid w:val="00581A17"/>
    <w:rsid w:val="00587260"/>
    <w:rsid w:val="00592D21"/>
    <w:rsid w:val="00592DAB"/>
    <w:rsid w:val="00593B1C"/>
    <w:rsid w:val="005978E2"/>
    <w:rsid w:val="005A0C91"/>
    <w:rsid w:val="005A4132"/>
    <w:rsid w:val="005A49DA"/>
    <w:rsid w:val="005A62A6"/>
    <w:rsid w:val="005B04E4"/>
    <w:rsid w:val="005B3033"/>
    <w:rsid w:val="005B4BB0"/>
    <w:rsid w:val="005B7916"/>
    <w:rsid w:val="005C0D20"/>
    <w:rsid w:val="005C6A94"/>
    <w:rsid w:val="005D2B09"/>
    <w:rsid w:val="005D2EA5"/>
    <w:rsid w:val="005D3B48"/>
    <w:rsid w:val="005D421E"/>
    <w:rsid w:val="005D6CFF"/>
    <w:rsid w:val="005E0F22"/>
    <w:rsid w:val="005E1D8A"/>
    <w:rsid w:val="005E5724"/>
    <w:rsid w:val="005F0B80"/>
    <w:rsid w:val="005F4133"/>
    <w:rsid w:val="005F63DE"/>
    <w:rsid w:val="005F71B2"/>
    <w:rsid w:val="0060197F"/>
    <w:rsid w:val="006038D6"/>
    <w:rsid w:val="00606E15"/>
    <w:rsid w:val="006100EF"/>
    <w:rsid w:val="00610D9C"/>
    <w:rsid w:val="00610F57"/>
    <w:rsid w:val="00612C5F"/>
    <w:rsid w:val="00613538"/>
    <w:rsid w:val="00614ED5"/>
    <w:rsid w:val="0061533C"/>
    <w:rsid w:val="00616786"/>
    <w:rsid w:val="00617C53"/>
    <w:rsid w:val="006267C6"/>
    <w:rsid w:val="0063000F"/>
    <w:rsid w:val="006358E0"/>
    <w:rsid w:val="0064008D"/>
    <w:rsid w:val="006406D1"/>
    <w:rsid w:val="00641524"/>
    <w:rsid w:val="00641BE8"/>
    <w:rsid w:val="006435EE"/>
    <w:rsid w:val="00645B58"/>
    <w:rsid w:val="00650EDF"/>
    <w:rsid w:val="006512F9"/>
    <w:rsid w:val="00653575"/>
    <w:rsid w:val="0065372F"/>
    <w:rsid w:val="006537F2"/>
    <w:rsid w:val="00655ECC"/>
    <w:rsid w:val="00662BE6"/>
    <w:rsid w:val="00662C25"/>
    <w:rsid w:val="00663CB5"/>
    <w:rsid w:val="00667E8C"/>
    <w:rsid w:val="00675FFC"/>
    <w:rsid w:val="0067669F"/>
    <w:rsid w:val="0067707B"/>
    <w:rsid w:val="006822F0"/>
    <w:rsid w:val="0068387E"/>
    <w:rsid w:val="00683ECB"/>
    <w:rsid w:val="00684AB3"/>
    <w:rsid w:val="00685638"/>
    <w:rsid w:val="00686B44"/>
    <w:rsid w:val="00693D6D"/>
    <w:rsid w:val="006968C6"/>
    <w:rsid w:val="00697983"/>
    <w:rsid w:val="006A35A0"/>
    <w:rsid w:val="006A3B3B"/>
    <w:rsid w:val="006A3B8F"/>
    <w:rsid w:val="006A51F6"/>
    <w:rsid w:val="006B2BA7"/>
    <w:rsid w:val="006B4F82"/>
    <w:rsid w:val="006C0AAB"/>
    <w:rsid w:val="006C0F54"/>
    <w:rsid w:val="006C21F4"/>
    <w:rsid w:val="006C26BD"/>
    <w:rsid w:val="006C3F21"/>
    <w:rsid w:val="006C7BC0"/>
    <w:rsid w:val="006D1A4E"/>
    <w:rsid w:val="006D2BBF"/>
    <w:rsid w:val="006D3FCA"/>
    <w:rsid w:val="006D5AEF"/>
    <w:rsid w:val="006D649B"/>
    <w:rsid w:val="006E29E3"/>
    <w:rsid w:val="006E557D"/>
    <w:rsid w:val="006E69DA"/>
    <w:rsid w:val="006E6D4F"/>
    <w:rsid w:val="006E7479"/>
    <w:rsid w:val="006F02F3"/>
    <w:rsid w:val="006F18C8"/>
    <w:rsid w:val="006F478A"/>
    <w:rsid w:val="006F4FF2"/>
    <w:rsid w:val="006F5935"/>
    <w:rsid w:val="006F6BBB"/>
    <w:rsid w:val="0070202B"/>
    <w:rsid w:val="007059AF"/>
    <w:rsid w:val="007111A6"/>
    <w:rsid w:val="00712EAB"/>
    <w:rsid w:val="007133B5"/>
    <w:rsid w:val="0072210C"/>
    <w:rsid w:val="007249BB"/>
    <w:rsid w:val="0072534A"/>
    <w:rsid w:val="00730887"/>
    <w:rsid w:val="0073448A"/>
    <w:rsid w:val="007357D2"/>
    <w:rsid w:val="00736C2C"/>
    <w:rsid w:val="00736F25"/>
    <w:rsid w:val="00737F19"/>
    <w:rsid w:val="00742F1D"/>
    <w:rsid w:val="0074452C"/>
    <w:rsid w:val="00745423"/>
    <w:rsid w:val="007458C8"/>
    <w:rsid w:val="00745CFB"/>
    <w:rsid w:val="00747D38"/>
    <w:rsid w:val="00750B47"/>
    <w:rsid w:val="00753C34"/>
    <w:rsid w:val="00754045"/>
    <w:rsid w:val="007548AB"/>
    <w:rsid w:val="0076262B"/>
    <w:rsid w:val="00762935"/>
    <w:rsid w:val="00763F3F"/>
    <w:rsid w:val="00764F73"/>
    <w:rsid w:val="00767371"/>
    <w:rsid w:val="007736D1"/>
    <w:rsid w:val="007742F9"/>
    <w:rsid w:val="00776980"/>
    <w:rsid w:val="007772C9"/>
    <w:rsid w:val="00777771"/>
    <w:rsid w:val="00781A61"/>
    <w:rsid w:val="007826D1"/>
    <w:rsid w:val="00784217"/>
    <w:rsid w:val="007871CF"/>
    <w:rsid w:val="00791666"/>
    <w:rsid w:val="00793838"/>
    <w:rsid w:val="00795311"/>
    <w:rsid w:val="007969BE"/>
    <w:rsid w:val="007A1614"/>
    <w:rsid w:val="007A1A59"/>
    <w:rsid w:val="007A3CB3"/>
    <w:rsid w:val="007A6EDF"/>
    <w:rsid w:val="007B079E"/>
    <w:rsid w:val="007B1422"/>
    <w:rsid w:val="007B40B9"/>
    <w:rsid w:val="007B574D"/>
    <w:rsid w:val="007B72CA"/>
    <w:rsid w:val="007B7EEE"/>
    <w:rsid w:val="007C330E"/>
    <w:rsid w:val="007C3990"/>
    <w:rsid w:val="007C68B2"/>
    <w:rsid w:val="007D1C91"/>
    <w:rsid w:val="007D2BE6"/>
    <w:rsid w:val="007D41BF"/>
    <w:rsid w:val="007D565D"/>
    <w:rsid w:val="007D5CEA"/>
    <w:rsid w:val="007E1002"/>
    <w:rsid w:val="007E39CF"/>
    <w:rsid w:val="007E740E"/>
    <w:rsid w:val="007F2231"/>
    <w:rsid w:val="007F24EB"/>
    <w:rsid w:val="007F267D"/>
    <w:rsid w:val="007F67D2"/>
    <w:rsid w:val="007F6AB2"/>
    <w:rsid w:val="008023E1"/>
    <w:rsid w:val="00802EED"/>
    <w:rsid w:val="008056B7"/>
    <w:rsid w:val="00806F20"/>
    <w:rsid w:val="00812863"/>
    <w:rsid w:val="00815B9B"/>
    <w:rsid w:val="008224B1"/>
    <w:rsid w:val="0082574C"/>
    <w:rsid w:val="0083037A"/>
    <w:rsid w:val="008313B4"/>
    <w:rsid w:val="0083308D"/>
    <w:rsid w:val="008334ED"/>
    <w:rsid w:val="00834135"/>
    <w:rsid w:val="008364CE"/>
    <w:rsid w:val="00836DDC"/>
    <w:rsid w:val="008402AB"/>
    <w:rsid w:val="008403D0"/>
    <w:rsid w:val="00840E9E"/>
    <w:rsid w:val="0084200D"/>
    <w:rsid w:val="00845C85"/>
    <w:rsid w:val="00856239"/>
    <w:rsid w:val="00856493"/>
    <w:rsid w:val="00860389"/>
    <w:rsid w:val="00860D43"/>
    <w:rsid w:val="008623E2"/>
    <w:rsid w:val="00862953"/>
    <w:rsid w:val="00867314"/>
    <w:rsid w:val="00867AB1"/>
    <w:rsid w:val="00867DC6"/>
    <w:rsid w:val="008717DC"/>
    <w:rsid w:val="00876CCC"/>
    <w:rsid w:val="00877508"/>
    <w:rsid w:val="008811F0"/>
    <w:rsid w:val="00882009"/>
    <w:rsid w:val="008877FF"/>
    <w:rsid w:val="00893237"/>
    <w:rsid w:val="008933A9"/>
    <w:rsid w:val="008935AE"/>
    <w:rsid w:val="008937DD"/>
    <w:rsid w:val="0089528B"/>
    <w:rsid w:val="00896259"/>
    <w:rsid w:val="008A09BC"/>
    <w:rsid w:val="008A1ECE"/>
    <w:rsid w:val="008A481F"/>
    <w:rsid w:val="008A71BD"/>
    <w:rsid w:val="008A7646"/>
    <w:rsid w:val="008B2A78"/>
    <w:rsid w:val="008B343E"/>
    <w:rsid w:val="008B704A"/>
    <w:rsid w:val="008B70BF"/>
    <w:rsid w:val="008C56B1"/>
    <w:rsid w:val="008D17FA"/>
    <w:rsid w:val="008D2681"/>
    <w:rsid w:val="008D3CA2"/>
    <w:rsid w:val="008D54DC"/>
    <w:rsid w:val="008E1815"/>
    <w:rsid w:val="008E4026"/>
    <w:rsid w:val="008E50F8"/>
    <w:rsid w:val="008E683F"/>
    <w:rsid w:val="008E7F7C"/>
    <w:rsid w:val="008F01B3"/>
    <w:rsid w:val="008F2A68"/>
    <w:rsid w:val="008F4931"/>
    <w:rsid w:val="008F64BA"/>
    <w:rsid w:val="008F6ABD"/>
    <w:rsid w:val="008F7828"/>
    <w:rsid w:val="00904E4F"/>
    <w:rsid w:val="00905656"/>
    <w:rsid w:val="009067A2"/>
    <w:rsid w:val="00911A51"/>
    <w:rsid w:val="00915187"/>
    <w:rsid w:val="00917886"/>
    <w:rsid w:val="00923031"/>
    <w:rsid w:val="00923700"/>
    <w:rsid w:val="00925E36"/>
    <w:rsid w:val="00926D2C"/>
    <w:rsid w:val="00927F08"/>
    <w:rsid w:val="00931396"/>
    <w:rsid w:val="00931663"/>
    <w:rsid w:val="00934F82"/>
    <w:rsid w:val="00940771"/>
    <w:rsid w:val="009424ED"/>
    <w:rsid w:val="00943A76"/>
    <w:rsid w:val="00950E5A"/>
    <w:rsid w:val="009618D5"/>
    <w:rsid w:val="00962824"/>
    <w:rsid w:val="009637EA"/>
    <w:rsid w:val="00963E2D"/>
    <w:rsid w:val="00970F4B"/>
    <w:rsid w:val="00971B4F"/>
    <w:rsid w:val="00972050"/>
    <w:rsid w:val="00973CB0"/>
    <w:rsid w:val="00975AE8"/>
    <w:rsid w:val="009770AE"/>
    <w:rsid w:val="00980D4D"/>
    <w:rsid w:val="009819DA"/>
    <w:rsid w:val="00984D04"/>
    <w:rsid w:val="00986A15"/>
    <w:rsid w:val="00991EB2"/>
    <w:rsid w:val="0099286A"/>
    <w:rsid w:val="0099400E"/>
    <w:rsid w:val="00995586"/>
    <w:rsid w:val="009A16C5"/>
    <w:rsid w:val="009A1FE4"/>
    <w:rsid w:val="009A2A62"/>
    <w:rsid w:val="009A4845"/>
    <w:rsid w:val="009A5133"/>
    <w:rsid w:val="009B0AA5"/>
    <w:rsid w:val="009B160C"/>
    <w:rsid w:val="009B3049"/>
    <w:rsid w:val="009B34C7"/>
    <w:rsid w:val="009B5795"/>
    <w:rsid w:val="009B69A6"/>
    <w:rsid w:val="009B7E70"/>
    <w:rsid w:val="009C232D"/>
    <w:rsid w:val="009C29A1"/>
    <w:rsid w:val="009D1EA8"/>
    <w:rsid w:val="009D3248"/>
    <w:rsid w:val="009D5BCD"/>
    <w:rsid w:val="009E4C1A"/>
    <w:rsid w:val="009F00E2"/>
    <w:rsid w:val="009F1108"/>
    <w:rsid w:val="009F2865"/>
    <w:rsid w:val="009F3969"/>
    <w:rsid w:val="009F459D"/>
    <w:rsid w:val="009F53AD"/>
    <w:rsid w:val="009F5C7D"/>
    <w:rsid w:val="009F6525"/>
    <w:rsid w:val="009F676B"/>
    <w:rsid w:val="009F6A2C"/>
    <w:rsid w:val="009F724A"/>
    <w:rsid w:val="009F7C9B"/>
    <w:rsid w:val="00A00125"/>
    <w:rsid w:val="00A0095D"/>
    <w:rsid w:val="00A01D53"/>
    <w:rsid w:val="00A023DD"/>
    <w:rsid w:val="00A0345D"/>
    <w:rsid w:val="00A04292"/>
    <w:rsid w:val="00A055ED"/>
    <w:rsid w:val="00A05DA7"/>
    <w:rsid w:val="00A07D0F"/>
    <w:rsid w:val="00A1009D"/>
    <w:rsid w:val="00A11A3C"/>
    <w:rsid w:val="00A22D55"/>
    <w:rsid w:val="00A26C08"/>
    <w:rsid w:val="00A271DE"/>
    <w:rsid w:val="00A315DF"/>
    <w:rsid w:val="00A324C1"/>
    <w:rsid w:val="00A345B6"/>
    <w:rsid w:val="00A35B6B"/>
    <w:rsid w:val="00A36602"/>
    <w:rsid w:val="00A3784B"/>
    <w:rsid w:val="00A37F60"/>
    <w:rsid w:val="00A40A8C"/>
    <w:rsid w:val="00A4229C"/>
    <w:rsid w:val="00A43DE2"/>
    <w:rsid w:val="00A44B76"/>
    <w:rsid w:val="00A505F3"/>
    <w:rsid w:val="00A52F10"/>
    <w:rsid w:val="00A63671"/>
    <w:rsid w:val="00A64339"/>
    <w:rsid w:val="00A66F20"/>
    <w:rsid w:val="00A736DC"/>
    <w:rsid w:val="00A73ED9"/>
    <w:rsid w:val="00A767F0"/>
    <w:rsid w:val="00A77EA3"/>
    <w:rsid w:val="00A808A4"/>
    <w:rsid w:val="00A80B93"/>
    <w:rsid w:val="00A82076"/>
    <w:rsid w:val="00A8225C"/>
    <w:rsid w:val="00A85D33"/>
    <w:rsid w:val="00A879A2"/>
    <w:rsid w:val="00A934F2"/>
    <w:rsid w:val="00A937C5"/>
    <w:rsid w:val="00A940AE"/>
    <w:rsid w:val="00A94F95"/>
    <w:rsid w:val="00A955B4"/>
    <w:rsid w:val="00AA2356"/>
    <w:rsid w:val="00AA279B"/>
    <w:rsid w:val="00AA3259"/>
    <w:rsid w:val="00AA3E8E"/>
    <w:rsid w:val="00AA7388"/>
    <w:rsid w:val="00AA7649"/>
    <w:rsid w:val="00AB5445"/>
    <w:rsid w:val="00AB61AA"/>
    <w:rsid w:val="00AC74FF"/>
    <w:rsid w:val="00AC7A8C"/>
    <w:rsid w:val="00AD50C6"/>
    <w:rsid w:val="00AD78F0"/>
    <w:rsid w:val="00AE161D"/>
    <w:rsid w:val="00AE2E84"/>
    <w:rsid w:val="00AE4786"/>
    <w:rsid w:val="00AF573A"/>
    <w:rsid w:val="00AF5B4B"/>
    <w:rsid w:val="00AF5B61"/>
    <w:rsid w:val="00B01ACB"/>
    <w:rsid w:val="00B02F17"/>
    <w:rsid w:val="00B0561A"/>
    <w:rsid w:val="00B07320"/>
    <w:rsid w:val="00B07602"/>
    <w:rsid w:val="00B0760F"/>
    <w:rsid w:val="00B10BD2"/>
    <w:rsid w:val="00B135BC"/>
    <w:rsid w:val="00B14C47"/>
    <w:rsid w:val="00B14C84"/>
    <w:rsid w:val="00B16EA3"/>
    <w:rsid w:val="00B203B0"/>
    <w:rsid w:val="00B22647"/>
    <w:rsid w:val="00B23C5C"/>
    <w:rsid w:val="00B34B92"/>
    <w:rsid w:val="00B44955"/>
    <w:rsid w:val="00B459E1"/>
    <w:rsid w:val="00B47837"/>
    <w:rsid w:val="00B51033"/>
    <w:rsid w:val="00B53DC6"/>
    <w:rsid w:val="00B57D5A"/>
    <w:rsid w:val="00B630E5"/>
    <w:rsid w:val="00B64302"/>
    <w:rsid w:val="00B66027"/>
    <w:rsid w:val="00B66DF8"/>
    <w:rsid w:val="00B6715C"/>
    <w:rsid w:val="00B73C56"/>
    <w:rsid w:val="00B73DFF"/>
    <w:rsid w:val="00B7539F"/>
    <w:rsid w:val="00B75471"/>
    <w:rsid w:val="00B82911"/>
    <w:rsid w:val="00B87476"/>
    <w:rsid w:val="00B917D2"/>
    <w:rsid w:val="00B94061"/>
    <w:rsid w:val="00BA2B6D"/>
    <w:rsid w:val="00BA43BF"/>
    <w:rsid w:val="00BA5A91"/>
    <w:rsid w:val="00BB26EC"/>
    <w:rsid w:val="00BB30B7"/>
    <w:rsid w:val="00BB4C8D"/>
    <w:rsid w:val="00BB4D3B"/>
    <w:rsid w:val="00BB5277"/>
    <w:rsid w:val="00BB5ECA"/>
    <w:rsid w:val="00BC29B1"/>
    <w:rsid w:val="00BC4000"/>
    <w:rsid w:val="00BD0261"/>
    <w:rsid w:val="00BD4996"/>
    <w:rsid w:val="00BD5AE2"/>
    <w:rsid w:val="00BD5DEE"/>
    <w:rsid w:val="00BE533E"/>
    <w:rsid w:val="00BF2298"/>
    <w:rsid w:val="00BF5AC1"/>
    <w:rsid w:val="00BF6AAB"/>
    <w:rsid w:val="00BF7229"/>
    <w:rsid w:val="00BF7587"/>
    <w:rsid w:val="00C13396"/>
    <w:rsid w:val="00C13E07"/>
    <w:rsid w:val="00C24495"/>
    <w:rsid w:val="00C24508"/>
    <w:rsid w:val="00C346DF"/>
    <w:rsid w:val="00C40764"/>
    <w:rsid w:val="00C42F01"/>
    <w:rsid w:val="00C44262"/>
    <w:rsid w:val="00C442D2"/>
    <w:rsid w:val="00C46F22"/>
    <w:rsid w:val="00C501D0"/>
    <w:rsid w:val="00C501F2"/>
    <w:rsid w:val="00C6158B"/>
    <w:rsid w:val="00C61F24"/>
    <w:rsid w:val="00C64C55"/>
    <w:rsid w:val="00C6541C"/>
    <w:rsid w:val="00C76B45"/>
    <w:rsid w:val="00C77486"/>
    <w:rsid w:val="00C7797D"/>
    <w:rsid w:val="00C8513D"/>
    <w:rsid w:val="00C85919"/>
    <w:rsid w:val="00C874BE"/>
    <w:rsid w:val="00C9258F"/>
    <w:rsid w:val="00C931D0"/>
    <w:rsid w:val="00C93D0B"/>
    <w:rsid w:val="00C96234"/>
    <w:rsid w:val="00C96345"/>
    <w:rsid w:val="00CA0A18"/>
    <w:rsid w:val="00CA2610"/>
    <w:rsid w:val="00CA29CF"/>
    <w:rsid w:val="00CA405A"/>
    <w:rsid w:val="00CA5140"/>
    <w:rsid w:val="00CA67E9"/>
    <w:rsid w:val="00CB3740"/>
    <w:rsid w:val="00CB4637"/>
    <w:rsid w:val="00CB78AF"/>
    <w:rsid w:val="00CC18AE"/>
    <w:rsid w:val="00CC3A6B"/>
    <w:rsid w:val="00CC727E"/>
    <w:rsid w:val="00CD1F55"/>
    <w:rsid w:val="00CD2141"/>
    <w:rsid w:val="00CD238C"/>
    <w:rsid w:val="00CD3FC4"/>
    <w:rsid w:val="00CD6063"/>
    <w:rsid w:val="00CD64B7"/>
    <w:rsid w:val="00CE4BEA"/>
    <w:rsid w:val="00CE5F18"/>
    <w:rsid w:val="00CE7901"/>
    <w:rsid w:val="00CF1429"/>
    <w:rsid w:val="00CF65DB"/>
    <w:rsid w:val="00D01BC1"/>
    <w:rsid w:val="00D060A0"/>
    <w:rsid w:val="00D108F8"/>
    <w:rsid w:val="00D10A25"/>
    <w:rsid w:val="00D10E69"/>
    <w:rsid w:val="00D13EB6"/>
    <w:rsid w:val="00D14232"/>
    <w:rsid w:val="00D25FFC"/>
    <w:rsid w:val="00D26965"/>
    <w:rsid w:val="00D27D32"/>
    <w:rsid w:val="00D311BC"/>
    <w:rsid w:val="00D34EF6"/>
    <w:rsid w:val="00D40BCB"/>
    <w:rsid w:val="00D41196"/>
    <w:rsid w:val="00D41E40"/>
    <w:rsid w:val="00D425C2"/>
    <w:rsid w:val="00D42B21"/>
    <w:rsid w:val="00D43EF2"/>
    <w:rsid w:val="00D44586"/>
    <w:rsid w:val="00D45B65"/>
    <w:rsid w:val="00D45E39"/>
    <w:rsid w:val="00D51C80"/>
    <w:rsid w:val="00D52750"/>
    <w:rsid w:val="00D54226"/>
    <w:rsid w:val="00D54AF6"/>
    <w:rsid w:val="00D576CE"/>
    <w:rsid w:val="00D635E3"/>
    <w:rsid w:val="00D66436"/>
    <w:rsid w:val="00D6778B"/>
    <w:rsid w:val="00D67880"/>
    <w:rsid w:val="00D70464"/>
    <w:rsid w:val="00D72250"/>
    <w:rsid w:val="00D72B5F"/>
    <w:rsid w:val="00D7790E"/>
    <w:rsid w:val="00D77F61"/>
    <w:rsid w:val="00D8224A"/>
    <w:rsid w:val="00D8454E"/>
    <w:rsid w:val="00D848C3"/>
    <w:rsid w:val="00D86D20"/>
    <w:rsid w:val="00D87FF7"/>
    <w:rsid w:val="00D95A75"/>
    <w:rsid w:val="00D979CB"/>
    <w:rsid w:val="00DA34F0"/>
    <w:rsid w:val="00DA6815"/>
    <w:rsid w:val="00DB2CA8"/>
    <w:rsid w:val="00DB37F7"/>
    <w:rsid w:val="00DB53D4"/>
    <w:rsid w:val="00DB56EE"/>
    <w:rsid w:val="00DB6077"/>
    <w:rsid w:val="00DC25FB"/>
    <w:rsid w:val="00DC3130"/>
    <w:rsid w:val="00DC4F1A"/>
    <w:rsid w:val="00DD01CB"/>
    <w:rsid w:val="00DD233C"/>
    <w:rsid w:val="00DD57D4"/>
    <w:rsid w:val="00DD59CF"/>
    <w:rsid w:val="00DF0048"/>
    <w:rsid w:val="00DF0090"/>
    <w:rsid w:val="00DF227B"/>
    <w:rsid w:val="00DF28A9"/>
    <w:rsid w:val="00DF2DB5"/>
    <w:rsid w:val="00DF3F33"/>
    <w:rsid w:val="00E01E8F"/>
    <w:rsid w:val="00E02E3B"/>
    <w:rsid w:val="00E10967"/>
    <w:rsid w:val="00E11C52"/>
    <w:rsid w:val="00E1335D"/>
    <w:rsid w:val="00E14896"/>
    <w:rsid w:val="00E15A42"/>
    <w:rsid w:val="00E15C17"/>
    <w:rsid w:val="00E17B4D"/>
    <w:rsid w:val="00E2262A"/>
    <w:rsid w:val="00E25E4E"/>
    <w:rsid w:val="00E3029D"/>
    <w:rsid w:val="00E310FF"/>
    <w:rsid w:val="00E31FF5"/>
    <w:rsid w:val="00E32022"/>
    <w:rsid w:val="00E32252"/>
    <w:rsid w:val="00E33DDE"/>
    <w:rsid w:val="00E34E83"/>
    <w:rsid w:val="00E355B4"/>
    <w:rsid w:val="00E35BD3"/>
    <w:rsid w:val="00E4680C"/>
    <w:rsid w:val="00E5052A"/>
    <w:rsid w:val="00E517F1"/>
    <w:rsid w:val="00E52A8D"/>
    <w:rsid w:val="00E5321D"/>
    <w:rsid w:val="00E575DB"/>
    <w:rsid w:val="00E609F7"/>
    <w:rsid w:val="00E60FDD"/>
    <w:rsid w:val="00E6307A"/>
    <w:rsid w:val="00E6325A"/>
    <w:rsid w:val="00E63739"/>
    <w:rsid w:val="00E642F8"/>
    <w:rsid w:val="00E64BB5"/>
    <w:rsid w:val="00E64D2A"/>
    <w:rsid w:val="00E65B2E"/>
    <w:rsid w:val="00E65D11"/>
    <w:rsid w:val="00E66583"/>
    <w:rsid w:val="00E72B83"/>
    <w:rsid w:val="00E732ED"/>
    <w:rsid w:val="00E75D9E"/>
    <w:rsid w:val="00E76218"/>
    <w:rsid w:val="00E7632F"/>
    <w:rsid w:val="00E81E86"/>
    <w:rsid w:val="00E83B4C"/>
    <w:rsid w:val="00E86B18"/>
    <w:rsid w:val="00E94581"/>
    <w:rsid w:val="00EA220E"/>
    <w:rsid w:val="00EA3B29"/>
    <w:rsid w:val="00EA4ADA"/>
    <w:rsid w:val="00EA58A9"/>
    <w:rsid w:val="00EA5902"/>
    <w:rsid w:val="00EB1FC4"/>
    <w:rsid w:val="00EB4140"/>
    <w:rsid w:val="00EB4B4A"/>
    <w:rsid w:val="00EB657C"/>
    <w:rsid w:val="00EC055F"/>
    <w:rsid w:val="00EC0862"/>
    <w:rsid w:val="00EC17E2"/>
    <w:rsid w:val="00EC5524"/>
    <w:rsid w:val="00ED1A4F"/>
    <w:rsid w:val="00ED2A50"/>
    <w:rsid w:val="00ED357E"/>
    <w:rsid w:val="00ED5336"/>
    <w:rsid w:val="00EE0528"/>
    <w:rsid w:val="00EE3535"/>
    <w:rsid w:val="00EE3E4A"/>
    <w:rsid w:val="00EF0FC4"/>
    <w:rsid w:val="00EF2545"/>
    <w:rsid w:val="00EF3160"/>
    <w:rsid w:val="00EF4955"/>
    <w:rsid w:val="00F02393"/>
    <w:rsid w:val="00F02BD0"/>
    <w:rsid w:val="00F04442"/>
    <w:rsid w:val="00F06B46"/>
    <w:rsid w:val="00F06CEC"/>
    <w:rsid w:val="00F06DF7"/>
    <w:rsid w:val="00F10751"/>
    <w:rsid w:val="00F1358F"/>
    <w:rsid w:val="00F13AC1"/>
    <w:rsid w:val="00F16F9D"/>
    <w:rsid w:val="00F23088"/>
    <w:rsid w:val="00F24A1B"/>
    <w:rsid w:val="00F25A16"/>
    <w:rsid w:val="00F2790F"/>
    <w:rsid w:val="00F31459"/>
    <w:rsid w:val="00F315BA"/>
    <w:rsid w:val="00F36D46"/>
    <w:rsid w:val="00F37DCD"/>
    <w:rsid w:val="00F37E05"/>
    <w:rsid w:val="00F37F6A"/>
    <w:rsid w:val="00F41403"/>
    <w:rsid w:val="00F422BC"/>
    <w:rsid w:val="00F44044"/>
    <w:rsid w:val="00F47719"/>
    <w:rsid w:val="00F5134B"/>
    <w:rsid w:val="00F54074"/>
    <w:rsid w:val="00F561A2"/>
    <w:rsid w:val="00F5727D"/>
    <w:rsid w:val="00F57299"/>
    <w:rsid w:val="00F606E3"/>
    <w:rsid w:val="00F62BD0"/>
    <w:rsid w:val="00F62C7F"/>
    <w:rsid w:val="00F64ABB"/>
    <w:rsid w:val="00F660A7"/>
    <w:rsid w:val="00F66352"/>
    <w:rsid w:val="00F7124C"/>
    <w:rsid w:val="00F71F16"/>
    <w:rsid w:val="00F72BE3"/>
    <w:rsid w:val="00F7584B"/>
    <w:rsid w:val="00F81C6E"/>
    <w:rsid w:val="00F844BC"/>
    <w:rsid w:val="00F8561C"/>
    <w:rsid w:val="00F8609F"/>
    <w:rsid w:val="00F90DFA"/>
    <w:rsid w:val="00F95122"/>
    <w:rsid w:val="00F96EAA"/>
    <w:rsid w:val="00FA12C9"/>
    <w:rsid w:val="00FA2356"/>
    <w:rsid w:val="00FA71EB"/>
    <w:rsid w:val="00FB0D5A"/>
    <w:rsid w:val="00FB19ED"/>
    <w:rsid w:val="00FB382B"/>
    <w:rsid w:val="00FB5FAA"/>
    <w:rsid w:val="00FB6549"/>
    <w:rsid w:val="00FB7094"/>
    <w:rsid w:val="00FB735B"/>
    <w:rsid w:val="00FC0A71"/>
    <w:rsid w:val="00FC1BC2"/>
    <w:rsid w:val="00FC61DF"/>
    <w:rsid w:val="00FC6AA2"/>
    <w:rsid w:val="00FD4729"/>
    <w:rsid w:val="00FD5733"/>
    <w:rsid w:val="00FE0E43"/>
    <w:rsid w:val="00FE2F94"/>
    <w:rsid w:val="00FE4A4E"/>
    <w:rsid w:val="00FE6049"/>
    <w:rsid w:val="00FE7361"/>
    <w:rsid w:val="00FF1979"/>
    <w:rsid w:val="00FF209F"/>
    <w:rsid w:val="00FF3B4B"/>
    <w:rsid w:val="00FF5C50"/>
    <w:rsid w:val="00FF67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540BD"/>
  <w15:docId w15:val="{0E667C7E-C5AA-4E03-8662-C1BC768A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F8"/>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B66DF8"/>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uiPriority w:val="99"/>
    <w:qFormat/>
    <w:rsid w:val="00B66DF8"/>
    <w:pPr>
      <w:keepNext/>
      <w:keepLines/>
      <w:spacing w:before="200"/>
      <w:outlineLvl w:val="1"/>
    </w:pPr>
    <w:rPr>
      <w:rFonts w:ascii="Cambria" w:hAnsi="Cambria"/>
      <w:b/>
      <w:bCs/>
      <w:color w:val="4F81BD"/>
      <w:sz w:val="26"/>
      <w:szCs w:val="26"/>
      <w:lang w:val="en-US"/>
    </w:rPr>
  </w:style>
  <w:style w:type="paragraph" w:styleId="Heading3">
    <w:name w:val="heading 3"/>
    <w:basedOn w:val="Normal"/>
    <w:next w:val="Normal"/>
    <w:link w:val="Heading3Char"/>
    <w:qFormat/>
    <w:rsid w:val="00B66DF8"/>
    <w:pPr>
      <w:keepNext/>
      <w:keepLines/>
      <w:spacing w:before="200"/>
      <w:outlineLvl w:val="2"/>
    </w:pPr>
    <w:rPr>
      <w:rFonts w:ascii="Cambria" w:hAnsi="Cambria"/>
      <w:b/>
      <w:bCs/>
      <w:color w:val="4F81BD"/>
      <w:sz w:val="20"/>
      <w:lang w:val="en-US"/>
    </w:rPr>
  </w:style>
  <w:style w:type="paragraph" w:styleId="Heading4">
    <w:name w:val="heading 4"/>
    <w:basedOn w:val="Normal"/>
    <w:next w:val="Normal"/>
    <w:link w:val="Heading4Char"/>
    <w:uiPriority w:val="9"/>
    <w:qFormat/>
    <w:rsid w:val="00B66DF8"/>
    <w:pPr>
      <w:keepNext/>
      <w:keepLines/>
      <w:spacing w:before="200"/>
      <w:outlineLvl w:val="3"/>
    </w:pPr>
    <w:rPr>
      <w:rFonts w:ascii="Cambria" w:hAnsi="Cambria"/>
      <w:b/>
      <w:bCs/>
      <w:i/>
      <w:iCs/>
      <w:color w:val="4F81BD"/>
      <w:sz w:val="20"/>
      <w:lang w:val="en-US"/>
    </w:rPr>
  </w:style>
  <w:style w:type="paragraph" w:styleId="Heading5">
    <w:name w:val="heading 5"/>
    <w:basedOn w:val="Normal"/>
    <w:next w:val="Normal"/>
    <w:link w:val="Heading5Char"/>
    <w:qFormat/>
    <w:rsid w:val="00B66DF8"/>
    <w:pPr>
      <w:spacing w:before="240" w:after="60"/>
      <w:outlineLvl w:val="4"/>
    </w:pPr>
    <w:rPr>
      <w:b/>
      <w:bCs/>
      <w:i/>
      <w:iCs/>
      <w:sz w:val="26"/>
      <w:szCs w:val="26"/>
      <w:lang w:val="en-US"/>
    </w:rPr>
  </w:style>
  <w:style w:type="paragraph" w:styleId="Heading6">
    <w:name w:val="heading 6"/>
    <w:basedOn w:val="Normal"/>
    <w:next w:val="Normal"/>
    <w:link w:val="Heading6Char"/>
    <w:qFormat/>
    <w:rsid w:val="00B66DF8"/>
    <w:pPr>
      <w:spacing w:before="240" w:after="60"/>
      <w:outlineLvl w:val="5"/>
    </w:pPr>
    <w:rPr>
      <w:b/>
      <w:bCs/>
      <w:sz w:val="20"/>
      <w:lang w:val="en-US"/>
    </w:rPr>
  </w:style>
  <w:style w:type="paragraph" w:styleId="Heading7">
    <w:name w:val="heading 7"/>
    <w:basedOn w:val="Normal"/>
    <w:next w:val="Normal"/>
    <w:link w:val="Heading7Char"/>
    <w:uiPriority w:val="9"/>
    <w:qFormat/>
    <w:rsid w:val="00B66DF8"/>
    <w:pPr>
      <w:keepNext/>
      <w:keepLines/>
      <w:spacing w:before="200"/>
      <w:outlineLvl w:val="6"/>
    </w:pPr>
    <w:rPr>
      <w:rFonts w:ascii="Cambria" w:hAnsi="Cambria"/>
      <w:i/>
      <w:iCs/>
      <w:color w:val="404040"/>
      <w:sz w:val="20"/>
      <w:lang w:val="en-US"/>
    </w:rPr>
  </w:style>
  <w:style w:type="paragraph" w:styleId="Heading8">
    <w:name w:val="heading 8"/>
    <w:basedOn w:val="Normal"/>
    <w:next w:val="Normal"/>
    <w:link w:val="Heading8Char"/>
    <w:qFormat/>
    <w:rsid w:val="00B66DF8"/>
    <w:pPr>
      <w:spacing w:before="240" w:after="60"/>
      <w:outlineLvl w:val="7"/>
    </w:pPr>
    <w:rPr>
      <w:i/>
      <w:iCs/>
      <w:sz w:val="24"/>
      <w:szCs w:val="24"/>
      <w:lang w:val="en-US"/>
    </w:rPr>
  </w:style>
  <w:style w:type="paragraph" w:styleId="Heading9">
    <w:name w:val="heading 9"/>
    <w:basedOn w:val="Normal"/>
    <w:next w:val="Normal"/>
    <w:link w:val="Heading9Char"/>
    <w:qFormat/>
    <w:rsid w:val="00B66DF8"/>
    <w:pPr>
      <w:spacing w:before="240" w:after="60"/>
      <w:outlineLvl w:val="8"/>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DF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9"/>
    <w:rsid w:val="00B66DF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rsid w:val="00B66DF8"/>
    <w:rPr>
      <w:rFonts w:ascii="Cambria" w:eastAsia="Times New Roman" w:hAnsi="Cambria" w:cs="Times New Roman"/>
      <w:b/>
      <w:bCs/>
      <w:color w:val="4F81BD"/>
      <w:sz w:val="20"/>
      <w:szCs w:val="20"/>
      <w:lang w:val="en-US"/>
    </w:rPr>
  </w:style>
  <w:style w:type="character" w:customStyle="1" w:styleId="Heading4Char">
    <w:name w:val="Heading 4 Char"/>
    <w:basedOn w:val="DefaultParagraphFont"/>
    <w:link w:val="Heading4"/>
    <w:uiPriority w:val="9"/>
    <w:rsid w:val="00B66DF8"/>
    <w:rPr>
      <w:rFonts w:ascii="Cambria" w:eastAsia="Times New Roman" w:hAnsi="Cambria" w:cs="Times New Roman"/>
      <w:b/>
      <w:bCs/>
      <w:i/>
      <w:iCs/>
      <w:color w:val="4F81BD"/>
      <w:sz w:val="20"/>
      <w:szCs w:val="20"/>
      <w:lang w:val="en-US"/>
    </w:rPr>
  </w:style>
  <w:style w:type="character" w:customStyle="1" w:styleId="Heading5Char">
    <w:name w:val="Heading 5 Char"/>
    <w:basedOn w:val="DefaultParagraphFont"/>
    <w:link w:val="Heading5"/>
    <w:rsid w:val="00B66DF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66DF8"/>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uiPriority w:val="9"/>
    <w:rsid w:val="00B66DF8"/>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rsid w:val="00B66DF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B66DF8"/>
    <w:rPr>
      <w:rFonts w:ascii="Arial" w:eastAsia="Times New Roman" w:hAnsi="Arial" w:cs="Times New Roman"/>
      <w:sz w:val="20"/>
      <w:szCs w:val="20"/>
      <w:lang w:val="en-US"/>
    </w:rPr>
  </w:style>
  <w:style w:type="paragraph" w:styleId="Header">
    <w:name w:val="header"/>
    <w:basedOn w:val="Normal"/>
    <w:link w:val="HeaderChar"/>
    <w:unhideWhenUsed/>
    <w:rsid w:val="00B66DF8"/>
    <w:pPr>
      <w:tabs>
        <w:tab w:val="center" w:pos="4536"/>
        <w:tab w:val="right" w:pos="9072"/>
      </w:tabs>
      <w:jc w:val="left"/>
    </w:pPr>
    <w:rPr>
      <w:rFonts w:ascii="Calibri" w:eastAsia="Calibri" w:hAnsi="Calibri"/>
      <w:szCs w:val="22"/>
    </w:rPr>
  </w:style>
  <w:style w:type="character" w:customStyle="1" w:styleId="HeaderChar">
    <w:name w:val="Header Char"/>
    <w:basedOn w:val="DefaultParagraphFont"/>
    <w:link w:val="Header"/>
    <w:rsid w:val="00B66DF8"/>
    <w:rPr>
      <w:rFonts w:ascii="Calibri" w:eastAsia="Calibri" w:hAnsi="Calibri" w:cs="Times New Roman"/>
    </w:rPr>
  </w:style>
  <w:style w:type="paragraph" w:styleId="Footer">
    <w:name w:val="footer"/>
    <w:basedOn w:val="Normal"/>
    <w:link w:val="FooterChar"/>
    <w:uiPriority w:val="99"/>
    <w:unhideWhenUsed/>
    <w:rsid w:val="00B66DF8"/>
    <w:pPr>
      <w:tabs>
        <w:tab w:val="center" w:pos="4536"/>
        <w:tab w:val="right" w:pos="9072"/>
      </w:tabs>
      <w:jc w:val="left"/>
    </w:pPr>
    <w:rPr>
      <w:rFonts w:ascii="Calibri" w:eastAsia="Calibri" w:hAnsi="Calibri"/>
      <w:szCs w:val="22"/>
    </w:rPr>
  </w:style>
  <w:style w:type="character" w:customStyle="1" w:styleId="FooterChar">
    <w:name w:val="Footer Char"/>
    <w:basedOn w:val="DefaultParagraphFont"/>
    <w:link w:val="Footer"/>
    <w:uiPriority w:val="99"/>
    <w:rsid w:val="00B66DF8"/>
    <w:rPr>
      <w:rFonts w:ascii="Calibri" w:eastAsia="Calibri" w:hAnsi="Calibri" w:cs="Times New Roman"/>
    </w:rPr>
  </w:style>
  <w:style w:type="paragraph" w:styleId="BalloonText">
    <w:name w:val="Balloon Text"/>
    <w:basedOn w:val="Normal"/>
    <w:link w:val="BalloonTextChar"/>
    <w:uiPriority w:val="99"/>
    <w:unhideWhenUsed/>
    <w:rsid w:val="00B66DF8"/>
    <w:pPr>
      <w:jc w:val="left"/>
    </w:pPr>
    <w:rPr>
      <w:rFonts w:ascii="Tahoma" w:eastAsia="Calibri" w:hAnsi="Tahoma"/>
      <w:sz w:val="16"/>
      <w:szCs w:val="16"/>
    </w:rPr>
  </w:style>
  <w:style w:type="character" w:customStyle="1" w:styleId="BalloonTextChar">
    <w:name w:val="Balloon Text Char"/>
    <w:basedOn w:val="DefaultParagraphFont"/>
    <w:link w:val="BalloonText"/>
    <w:uiPriority w:val="99"/>
    <w:rsid w:val="00B66DF8"/>
    <w:rPr>
      <w:rFonts w:ascii="Tahoma" w:eastAsia="Calibri" w:hAnsi="Tahoma" w:cs="Times New Roman"/>
      <w:sz w:val="16"/>
      <w:szCs w:val="16"/>
    </w:rPr>
  </w:style>
  <w:style w:type="paragraph" w:styleId="BodyTextIndent">
    <w:name w:val="Body Text Indent"/>
    <w:basedOn w:val="Normal"/>
    <w:link w:val="BodyTextIndentChar"/>
    <w:rsid w:val="00B66DF8"/>
    <w:pPr>
      <w:spacing w:before="120"/>
      <w:ind w:left="709"/>
    </w:pPr>
    <w:rPr>
      <w:bCs/>
      <w:snapToGrid w:val="0"/>
      <w:sz w:val="24"/>
      <w:szCs w:val="24"/>
    </w:rPr>
  </w:style>
  <w:style w:type="character" w:customStyle="1" w:styleId="BodyTextIndentChar">
    <w:name w:val="Body Text Indent Char"/>
    <w:basedOn w:val="DefaultParagraphFont"/>
    <w:link w:val="BodyTextIndent"/>
    <w:rsid w:val="00B66DF8"/>
    <w:rPr>
      <w:rFonts w:ascii="Times New Roman" w:eastAsia="Times New Roman" w:hAnsi="Times New Roman" w:cs="Times New Roman"/>
      <w:bCs/>
      <w:snapToGrid w:val="0"/>
      <w:sz w:val="24"/>
      <w:szCs w:val="24"/>
    </w:rPr>
  </w:style>
  <w:style w:type="paragraph" w:styleId="BodyText">
    <w:name w:val="Body Text"/>
    <w:basedOn w:val="Normal"/>
    <w:link w:val="BodyTextChar"/>
    <w:rsid w:val="00B66DF8"/>
    <w:pPr>
      <w:spacing w:after="120"/>
    </w:pPr>
    <w:rPr>
      <w:bCs/>
      <w:sz w:val="24"/>
      <w:szCs w:val="24"/>
      <w:lang w:val="en-US"/>
    </w:rPr>
  </w:style>
  <w:style w:type="character" w:customStyle="1" w:styleId="BodyTextChar">
    <w:name w:val="Body Text Char"/>
    <w:basedOn w:val="DefaultParagraphFont"/>
    <w:link w:val="BodyText"/>
    <w:rsid w:val="00B66DF8"/>
    <w:rPr>
      <w:rFonts w:ascii="Times New Roman" w:eastAsia="Times New Roman" w:hAnsi="Times New Roman" w:cs="Times New Roman"/>
      <w:bCs/>
      <w:sz w:val="24"/>
      <w:szCs w:val="24"/>
      <w:lang w:val="en-US"/>
    </w:rPr>
  </w:style>
  <w:style w:type="paragraph" w:styleId="TOC1">
    <w:name w:val="toc 1"/>
    <w:basedOn w:val="Normal"/>
    <w:next w:val="Normal"/>
    <w:autoRedefine/>
    <w:uiPriority w:val="39"/>
    <w:rsid w:val="00B66DF8"/>
    <w:pPr>
      <w:tabs>
        <w:tab w:val="right" w:leader="dot" w:pos="9457"/>
      </w:tabs>
    </w:pPr>
    <w:rPr>
      <w:rFonts w:ascii="Georgia" w:hAnsi="Georgia"/>
      <w:bCs/>
      <w:noProof/>
      <w:snapToGrid w:val="0"/>
      <w:szCs w:val="22"/>
    </w:rPr>
  </w:style>
  <w:style w:type="paragraph" w:customStyle="1" w:styleId="Document1">
    <w:name w:val="Document 1"/>
    <w:link w:val="Document1Char"/>
    <w:uiPriority w:val="99"/>
    <w:rsid w:val="00B66DF8"/>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uiPriority w:val="99"/>
    <w:rsid w:val="00B66DF8"/>
    <w:rPr>
      <w:rFonts w:ascii="Bodoni Book 12pt" w:eastAsia="Times New Roman" w:hAnsi="Bodoni Book 12pt" w:cs="Times New Roman"/>
      <w:sz w:val="24"/>
      <w:szCs w:val="20"/>
      <w:lang w:val="en-US"/>
    </w:rPr>
  </w:style>
  <w:style w:type="paragraph" w:styleId="List">
    <w:name w:val="List"/>
    <w:basedOn w:val="Normal"/>
    <w:rsid w:val="00B66DF8"/>
    <w:pPr>
      <w:ind w:left="283" w:hanging="283"/>
      <w:jc w:val="left"/>
    </w:pPr>
    <w:rPr>
      <w:bCs/>
      <w:sz w:val="20"/>
      <w:szCs w:val="24"/>
      <w:lang w:val="en-AU"/>
    </w:rPr>
  </w:style>
  <w:style w:type="paragraph" w:styleId="ListContinue">
    <w:name w:val="List Continue"/>
    <w:basedOn w:val="Normal"/>
    <w:rsid w:val="00B66DF8"/>
    <w:pPr>
      <w:spacing w:after="120"/>
      <w:ind w:left="283"/>
      <w:jc w:val="left"/>
    </w:pPr>
    <w:rPr>
      <w:bCs/>
      <w:sz w:val="20"/>
      <w:szCs w:val="24"/>
      <w:lang w:val="en-AU"/>
    </w:rPr>
  </w:style>
  <w:style w:type="paragraph" w:styleId="EndnoteText">
    <w:name w:val="endnote text"/>
    <w:basedOn w:val="Normal"/>
    <w:link w:val="EndnoteTextChar"/>
    <w:rsid w:val="00B66DF8"/>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EndnoteTextChar">
    <w:name w:val="Endnote Text Char"/>
    <w:basedOn w:val="DefaultParagraphFont"/>
    <w:link w:val="EndnoteText"/>
    <w:rsid w:val="00B66DF8"/>
    <w:rPr>
      <w:rFonts w:ascii="Arial" w:eastAsia="Times New Roman" w:hAnsi="Arial" w:cs="Times New Roman"/>
      <w:bCs/>
      <w:sz w:val="20"/>
      <w:szCs w:val="24"/>
      <w:lang w:val="en-GB"/>
    </w:rPr>
  </w:style>
  <w:style w:type="paragraph" w:customStyle="1" w:styleId="firstline">
    <w:name w:val="firstline"/>
    <w:basedOn w:val="Normal"/>
    <w:rsid w:val="00B66DF8"/>
    <w:pPr>
      <w:spacing w:before="100" w:beforeAutospacing="1" w:after="100" w:afterAutospacing="1"/>
      <w:jc w:val="left"/>
    </w:pPr>
    <w:rPr>
      <w:bCs/>
      <w:sz w:val="24"/>
      <w:szCs w:val="24"/>
      <w:lang w:eastAsia="bg-BG"/>
    </w:rPr>
  </w:style>
  <w:style w:type="paragraph" w:customStyle="1" w:styleId="000Normal">
    <w:name w:val="000 Normal"/>
    <w:basedOn w:val="Normal"/>
    <w:link w:val="000NormalChar"/>
    <w:rsid w:val="00B66DF8"/>
    <w:pPr>
      <w:overflowPunct w:val="0"/>
      <w:autoSpaceDE w:val="0"/>
      <w:autoSpaceDN w:val="0"/>
      <w:adjustRightInd w:val="0"/>
      <w:spacing w:before="60" w:after="40" w:line="220" w:lineRule="exact"/>
      <w:textAlignment w:val="baseline"/>
    </w:pPr>
    <w:rPr>
      <w:rFonts w:ascii="Garamond" w:hAnsi="Garamond"/>
      <w:bCs/>
      <w:sz w:val="20"/>
      <w:szCs w:val="24"/>
    </w:rPr>
  </w:style>
  <w:style w:type="paragraph" w:styleId="TOCHeading">
    <w:name w:val="TOC Heading"/>
    <w:basedOn w:val="Heading1"/>
    <w:next w:val="Normal"/>
    <w:uiPriority w:val="39"/>
    <w:qFormat/>
    <w:rsid w:val="00B66DF8"/>
    <w:pPr>
      <w:spacing w:line="276" w:lineRule="auto"/>
      <w:jc w:val="left"/>
      <w:outlineLvl w:val="9"/>
    </w:pPr>
  </w:style>
  <w:style w:type="paragraph" w:styleId="TOC2">
    <w:name w:val="toc 2"/>
    <w:basedOn w:val="Normal"/>
    <w:next w:val="Normal"/>
    <w:autoRedefine/>
    <w:uiPriority w:val="39"/>
    <w:unhideWhenUsed/>
    <w:rsid w:val="00B66DF8"/>
    <w:pPr>
      <w:spacing w:after="100"/>
      <w:ind w:left="220"/>
    </w:pPr>
  </w:style>
  <w:style w:type="paragraph" w:styleId="TOC3">
    <w:name w:val="toc 3"/>
    <w:basedOn w:val="Normal"/>
    <w:next w:val="Normal"/>
    <w:autoRedefine/>
    <w:uiPriority w:val="39"/>
    <w:unhideWhenUsed/>
    <w:rsid w:val="00B66DF8"/>
    <w:pPr>
      <w:spacing w:after="100"/>
      <w:ind w:left="440"/>
    </w:pPr>
  </w:style>
  <w:style w:type="character" w:styleId="Hyperlink">
    <w:name w:val="Hyperlink"/>
    <w:uiPriority w:val="99"/>
    <w:unhideWhenUsed/>
    <w:rsid w:val="00B66DF8"/>
    <w:rPr>
      <w:color w:val="0000FF"/>
      <w:u w:val="single"/>
    </w:rPr>
  </w:style>
  <w:style w:type="paragraph" w:styleId="ListParagraph">
    <w:name w:val="List Paragraph"/>
    <w:basedOn w:val="Normal"/>
    <w:uiPriority w:val="34"/>
    <w:qFormat/>
    <w:rsid w:val="00B66DF8"/>
    <w:pPr>
      <w:ind w:left="720"/>
      <w:contextualSpacing/>
    </w:pPr>
  </w:style>
  <w:style w:type="paragraph" w:customStyle="1" w:styleId="IASBPrinciple">
    <w:name w:val="IASB Principle"/>
    <w:basedOn w:val="Normal"/>
    <w:rsid w:val="00B66DF8"/>
    <w:pPr>
      <w:spacing w:before="100" w:after="100"/>
    </w:pPr>
    <w:rPr>
      <w:b/>
      <w:snapToGrid w:val="0"/>
      <w:sz w:val="24"/>
      <w:szCs w:val="22"/>
      <w:lang w:eastAsia="bg-BG"/>
    </w:rPr>
  </w:style>
  <w:style w:type="character" w:customStyle="1" w:styleId="tabletxteygChar">
    <w:name w:val="tabletxt eyg Char"/>
    <w:link w:val="tabletxteyg"/>
    <w:rsid w:val="00B66DF8"/>
    <w:rPr>
      <w:rFonts w:ascii="EY Gothic Comp BookPS" w:hAnsi="EY Gothic Comp BookPS"/>
      <w:color w:val="000000"/>
      <w:lang w:val="en-GB"/>
    </w:rPr>
  </w:style>
  <w:style w:type="paragraph" w:customStyle="1" w:styleId="tabletxteyg">
    <w:name w:val="tabletxt eyg"/>
    <w:basedOn w:val="Normal"/>
    <w:link w:val="tabletxteygChar"/>
    <w:rsid w:val="00B66DF8"/>
    <w:pPr>
      <w:tabs>
        <w:tab w:val="right" w:leader="dot" w:pos="9739"/>
      </w:tabs>
      <w:overflowPunct w:val="0"/>
      <w:autoSpaceDE w:val="0"/>
      <w:autoSpaceDN w:val="0"/>
      <w:adjustRightInd w:val="0"/>
      <w:spacing w:after="80" w:line="240" w:lineRule="exact"/>
      <w:jc w:val="left"/>
      <w:textAlignment w:val="baseline"/>
    </w:pPr>
    <w:rPr>
      <w:rFonts w:ascii="EY Gothic Comp BookPS" w:eastAsiaTheme="minorHAnsi" w:hAnsi="EY Gothic Comp BookPS" w:cstheme="minorBidi"/>
      <w:color w:val="000000"/>
      <w:szCs w:val="22"/>
      <w:lang w:val="en-GB"/>
    </w:rPr>
  </w:style>
  <w:style w:type="paragraph" w:customStyle="1" w:styleId="Style1">
    <w:name w:val="Style 1"/>
    <w:basedOn w:val="Normal"/>
    <w:rsid w:val="00B66DF8"/>
    <w:pPr>
      <w:widowControl w:val="0"/>
      <w:autoSpaceDE w:val="0"/>
      <w:autoSpaceDN w:val="0"/>
      <w:adjustRightInd w:val="0"/>
      <w:jc w:val="left"/>
    </w:pPr>
    <w:rPr>
      <w:bCs/>
      <w:sz w:val="20"/>
      <w:szCs w:val="24"/>
    </w:rPr>
  </w:style>
  <w:style w:type="paragraph" w:customStyle="1" w:styleId="CM4">
    <w:name w:val="CM4"/>
    <w:basedOn w:val="Normal"/>
    <w:next w:val="Normal"/>
    <w:uiPriority w:val="99"/>
    <w:rsid w:val="00B66DF8"/>
    <w:pPr>
      <w:autoSpaceDE w:val="0"/>
      <w:autoSpaceDN w:val="0"/>
      <w:adjustRightInd w:val="0"/>
      <w:jc w:val="left"/>
    </w:pPr>
    <w:rPr>
      <w:rFonts w:ascii="EUAlbertina" w:hAnsi="EUAlbertina"/>
      <w:bCs/>
      <w:sz w:val="24"/>
      <w:szCs w:val="24"/>
      <w:lang w:eastAsia="bg-BG"/>
    </w:rPr>
  </w:style>
  <w:style w:type="paragraph" w:customStyle="1" w:styleId="bluesubhead">
    <w:name w:val="blue subhead"/>
    <w:basedOn w:val="Normal"/>
    <w:rsid w:val="00B66DF8"/>
    <w:pPr>
      <w:overflowPunct w:val="0"/>
      <w:autoSpaceDE w:val="0"/>
      <w:autoSpaceDN w:val="0"/>
      <w:adjustRightInd w:val="0"/>
      <w:spacing w:line="240" w:lineRule="exact"/>
      <w:jc w:val="left"/>
      <w:textAlignment w:val="baseline"/>
    </w:pPr>
    <w:rPr>
      <w:rFonts w:ascii="EY Gothic Comp BookPS" w:hAnsi="EY Gothic Comp BookPS"/>
      <w:b/>
      <w:color w:val="000080"/>
      <w:sz w:val="20"/>
    </w:rPr>
  </w:style>
  <w:style w:type="paragraph" w:customStyle="1" w:styleId="Notesbodytext">
    <w:name w:val="Notes body text"/>
    <w:basedOn w:val="BodyText"/>
    <w:link w:val="NotesbodytextChar"/>
    <w:rsid w:val="00B66DF8"/>
    <w:pPr>
      <w:overflowPunct w:val="0"/>
      <w:autoSpaceDE w:val="0"/>
      <w:autoSpaceDN w:val="0"/>
      <w:adjustRightInd w:val="0"/>
      <w:spacing w:line="240" w:lineRule="exact"/>
      <w:jc w:val="left"/>
      <w:textAlignment w:val="baseline"/>
    </w:pPr>
    <w:rPr>
      <w:rFonts w:ascii="EYInterstate Light" w:hAnsi="EYInterstate Light"/>
      <w:color w:val="000000"/>
      <w:sz w:val="18"/>
      <w:szCs w:val="20"/>
      <w:lang w:val="en-GB"/>
    </w:rPr>
  </w:style>
  <w:style w:type="character" w:customStyle="1" w:styleId="NotesbodytextChar">
    <w:name w:val="Notes body text Char"/>
    <w:link w:val="Notesbodytext"/>
    <w:rsid w:val="00B66DF8"/>
    <w:rPr>
      <w:rFonts w:ascii="EYInterstate Light" w:eastAsia="Times New Roman" w:hAnsi="EYInterstate Light" w:cs="Times New Roman"/>
      <w:bCs/>
      <w:color w:val="000000"/>
      <w:sz w:val="18"/>
      <w:szCs w:val="20"/>
      <w:lang w:val="en-GB"/>
    </w:rPr>
  </w:style>
  <w:style w:type="paragraph" w:customStyle="1" w:styleId="italsubhd">
    <w:name w:val="italsubhd"/>
    <w:basedOn w:val="Normal"/>
    <w:link w:val="italsubhdChar"/>
    <w:rsid w:val="00B66DF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 w:val="20"/>
      <w:lang w:val="en-GB"/>
    </w:rPr>
  </w:style>
  <w:style w:type="character" w:customStyle="1" w:styleId="italsubhdChar">
    <w:name w:val="italsubhd Char"/>
    <w:link w:val="italsubhd"/>
    <w:rsid w:val="00B66DF8"/>
    <w:rPr>
      <w:rFonts w:ascii="EY Gothic Comp BookPS" w:eastAsia="Times New Roman" w:hAnsi="EY Gothic Comp BookPS" w:cs="Times New Roman"/>
      <w:i/>
      <w:iCs/>
      <w:noProof/>
      <w:color w:val="000000"/>
      <w:sz w:val="20"/>
      <w:szCs w:val="20"/>
      <w:lang w:val="en-GB"/>
    </w:rPr>
  </w:style>
  <w:style w:type="character" w:customStyle="1" w:styleId="tw4winMark">
    <w:name w:val="tw4winMark"/>
    <w:rsid w:val="00B66DF8"/>
    <w:rPr>
      <w:rFonts w:ascii="Courier New" w:hAnsi="Courier New" w:cs="Courier New"/>
      <w:color w:val="800080"/>
      <w:vertAlign w:val="subscript"/>
    </w:rPr>
  </w:style>
  <w:style w:type="paragraph" w:customStyle="1" w:styleId="IASBNormal">
    <w:name w:val="IASB Normal"/>
    <w:rsid w:val="00B66DF8"/>
    <w:pPr>
      <w:suppressAutoHyphens/>
      <w:spacing w:before="100" w:after="100" w:line="240" w:lineRule="auto"/>
      <w:jc w:val="both"/>
    </w:pPr>
    <w:rPr>
      <w:rFonts w:ascii="Times New Roman" w:eastAsia="Times New Roman" w:hAnsi="Times New Roman" w:cs="Times New Roman"/>
      <w:lang w:eastAsia="ar-SA"/>
    </w:rPr>
  </w:style>
  <w:style w:type="paragraph" w:styleId="BodyText2">
    <w:name w:val="Body Text 2"/>
    <w:basedOn w:val="Normal"/>
    <w:link w:val="BodyText2Char"/>
    <w:uiPriority w:val="99"/>
    <w:unhideWhenUsed/>
    <w:rsid w:val="00B66DF8"/>
    <w:pPr>
      <w:spacing w:after="120" w:line="480" w:lineRule="auto"/>
    </w:pPr>
    <w:rPr>
      <w:sz w:val="20"/>
      <w:lang w:val="en-US"/>
    </w:rPr>
  </w:style>
  <w:style w:type="character" w:customStyle="1" w:styleId="BodyText2Char">
    <w:name w:val="Body Text 2 Char"/>
    <w:basedOn w:val="DefaultParagraphFont"/>
    <w:link w:val="BodyText2"/>
    <w:uiPriority w:val="99"/>
    <w:rsid w:val="00B66DF8"/>
    <w:rPr>
      <w:rFonts w:ascii="Times New Roman" w:eastAsia="Times New Roman" w:hAnsi="Times New Roman" w:cs="Times New Roman"/>
      <w:sz w:val="20"/>
      <w:szCs w:val="20"/>
      <w:lang w:val="en-US"/>
    </w:rPr>
  </w:style>
  <w:style w:type="paragraph" w:customStyle="1" w:styleId="010Subheading1">
    <w:name w:val="010 Subheading 1"/>
    <w:basedOn w:val="000Normal"/>
    <w:rsid w:val="00B66DF8"/>
    <w:pPr>
      <w:tabs>
        <w:tab w:val="num" w:pos="425"/>
      </w:tabs>
      <w:spacing w:before="0"/>
      <w:ind w:left="425" w:hanging="425"/>
    </w:pPr>
    <w:rPr>
      <w:bCs w:val="0"/>
      <w:szCs w:val="20"/>
      <w:lang w:val="en-GB"/>
    </w:rPr>
  </w:style>
  <w:style w:type="paragraph" w:customStyle="1" w:styleId="--">
    <w:name w:val="--&gt;"/>
    <w:rsid w:val="00B66D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bodytext0">
    <w:name w:val="body_text"/>
    <w:basedOn w:val="Normal"/>
    <w:rsid w:val="00B66DF8"/>
    <w:pPr>
      <w:spacing w:before="120" w:after="120"/>
    </w:pPr>
  </w:style>
  <w:style w:type="paragraph" w:styleId="BodyTextIndent3">
    <w:name w:val="Body Text Indent 3"/>
    <w:basedOn w:val="Normal"/>
    <w:link w:val="BodyTextIndent3Char"/>
    <w:rsid w:val="00B66DF8"/>
    <w:pPr>
      <w:spacing w:after="120"/>
      <w:ind w:left="283"/>
    </w:pPr>
    <w:rPr>
      <w:sz w:val="16"/>
      <w:szCs w:val="16"/>
      <w:lang w:val="en-US"/>
    </w:rPr>
  </w:style>
  <w:style w:type="character" w:customStyle="1" w:styleId="BodyTextIndent3Char">
    <w:name w:val="Body Text Indent 3 Char"/>
    <w:basedOn w:val="DefaultParagraphFont"/>
    <w:link w:val="BodyTextIndent3"/>
    <w:rsid w:val="00B66DF8"/>
    <w:rPr>
      <w:rFonts w:ascii="Times New Roman" w:eastAsia="Times New Roman" w:hAnsi="Times New Roman" w:cs="Times New Roman"/>
      <w:sz w:val="16"/>
      <w:szCs w:val="16"/>
      <w:lang w:val="en-US"/>
    </w:rPr>
  </w:style>
  <w:style w:type="paragraph" w:customStyle="1" w:styleId="FR1">
    <w:name w:val="FR1"/>
    <w:rsid w:val="00B66DF8"/>
    <w:pPr>
      <w:widowControl w:val="0"/>
      <w:spacing w:before="180" w:after="0" w:line="640" w:lineRule="auto"/>
      <w:ind w:left="240" w:right="3600" w:hanging="260"/>
    </w:pPr>
    <w:rPr>
      <w:rFonts w:ascii="Times New Roman" w:eastAsia="Times New Roman" w:hAnsi="Times New Roman" w:cs="Times New Roman"/>
      <w:snapToGrid w:val="0"/>
      <w:sz w:val="18"/>
      <w:szCs w:val="20"/>
    </w:rPr>
  </w:style>
  <w:style w:type="paragraph" w:styleId="BodyTextIndent2">
    <w:name w:val="Body Text Indent 2"/>
    <w:basedOn w:val="Normal"/>
    <w:link w:val="BodyTextIndent2Char"/>
    <w:rsid w:val="00B66DF8"/>
    <w:pPr>
      <w:spacing w:after="120" w:line="480" w:lineRule="auto"/>
      <w:ind w:left="283"/>
    </w:pPr>
    <w:rPr>
      <w:sz w:val="20"/>
      <w:lang w:val="en-US"/>
    </w:rPr>
  </w:style>
  <w:style w:type="character" w:customStyle="1" w:styleId="BodyTextIndent2Char">
    <w:name w:val="Body Text Indent 2 Char"/>
    <w:basedOn w:val="DefaultParagraphFont"/>
    <w:link w:val="BodyTextIndent2"/>
    <w:rsid w:val="00B66DF8"/>
    <w:rPr>
      <w:rFonts w:ascii="Times New Roman" w:eastAsia="Times New Roman" w:hAnsi="Times New Roman" w:cs="Times New Roman"/>
      <w:sz w:val="20"/>
      <w:szCs w:val="20"/>
      <w:lang w:val="en-US"/>
    </w:rPr>
  </w:style>
  <w:style w:type="table" w:styleId="TableGrid">
    <w:name w:val="Table Grid"/>
    <w:basedOn w:val="TableNormal"/>
    <w:rsid w:val="00B66DF8"/>
    <w:pPr>
      <w:spacing w:after="0" w:line="240" w:lineRule="auto"/>
      <w:jc w:val="both"/>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66DF8"/>
  </w:style>
  <w:style w:type="paragraph" w:customStyle="1" w:styleId="241Singleline">
    <w:name w:val="241 Single line"/>
    <w:basedOn w:val="240Noline"/>
    <w:rsid w:val="00B66DF8"/>
    <w:pPr>
      <w:pBdr>
        <w:bottom w:val="single" w:sz="4" w:space="1" w:color="auto"/>
      </w:pBdr>
    </w:pPr>
  </w:style>
  <w:style w:type="paragraph" w:customStyle="1" w:styleId="240Noline">
    <w:name w:val="240 No line"/>
    <w:basedOn w:val="000Normal"/>
    <w:rsid w:val="00B66DF8"/>
    <w:pPr>
      <w:spacing w:before="0" w:after="0" w:line="14" w:lineRule="exact"/>
    </w:pPr>
    <w:rPr>
      <w:bCs w:val="0"/>
      <w:sz w:val="24"/>
      <w:szCs w:val="20"/>
    </w:rPr>
  </w:style>
  <w:style w:type="paragraph" w:customStyle="1" w:styleId="200Tableleft">
    <w:name w:val="200 Table left"/>
    <w:basedOn w:val="000Normal"/>
    <w:rsid w:val="00B66DF8"/>
    <w:pPr>
      <w:spacing w:before="20" w:after="0" w:line="200" w:lineRule="exact"/>
      <w:jc w:val="left"/>
    </w:pPr>
    <w:rPr>
      <w:bCs w:val="0"/>
      <w:szCs w:val="20"/>
    </w:rPr>
  </w:style>
  <w:style w:type="paragraph" w:customStyle="1" w:styleId="210Tableright">
    <w:name w:val="210 Table right"/>
    <w:basedOn w:val="200Tableleft"/>
    <w:rsid w:val="00B66DF8"/>
    <w:pPr>
      <w:jc w:val="right"/>
    </w:pPr>
  </w:style>
  <w:style w:type="paragraph" w:customStyle="1" w:styleId="202Tableleftindent2">
    <w:name w:val="202 Table left indent 2"/>
    <w:basedOn w:val="201Tableleftindent1"/>
    <w:rsid w:val="00B66DF8"/>
    <w:pPr>
      <w:ind w:left="340"/>
    </w:pPr>
  </w:style>
  <w:style w:type="paragraph" w:customStyle="1" w:styleId="201Tableleftindent1">
    <w:name w:val="201 Table left indent 1"/>
    <w:basedOn w:val="200Tableleft"/>
    <w:rsid w:val="00B66DF8"/>
    <w:pPr>
      <w:ind w:left="170" w:hanging="170"/>
    </w:pPr>
  </w:style>
  <w:style w:type="character" w:customStyle="1" w:styleId="IASBFootnoteSign">
    <w:name w:val="IASB Footnote Sign"/>
    <w:rsid w:val="00B66DF8"/>
    <w:rPr>
      <w:vertAlign w:val="superscript"/>
    </w:rPr>
  </w:style>
  <w:style w:type="paragraph" w:customStyle="1" w:styleId="wfxRecipient">
    <w:name w:val="wfxRecipient"/>
    <w:basedOn w:val="Normal"/>
    <w:rsid w:val="00B66DF8"/>
    <w:pPr>
      <w:spacing w:line="240" w:lineRule="atLeast"/>
    </w:pPr>
    <w:rPr>
      <w:sz w:val="20"/>
    </w:rPr>
  </w:style>
  <w:style w:type="paragraph" w:customStyle="1" w:styleId="NormalText">
    <w:name w:val="Normal Text"/>
    <w:basedOn w:val="Normal"/>
    <w:rsid w:val="00B66DF8"/>
    <w:pPr>
      <w:spacing w:after="240" w:line="240" w:lineRule="atLeast"/>
    </w:pPr>
    <w:rPr>
      <w:sz w:val="20"/>
    </w:rPr>
  </w:style>
  <w:style w:type="paragraph" w:customStyle="1" w:styleId="CharCharCharCharCharChar1CharCharCharChar">
    <w:name w:val="Char Char Char Char Char Char1 Char Char Char Char"/>
    <w:basedOn w:val="Normal"/>
    <w:rsid w:val="00B66DF8"/>
    <w:pPr>
      <w:tabs>
        <w:tab w:val="left" w:pos="709"/>
      </w:tabs>
      <w:jc w:val="left"/>
    </w:pPr>
    <w:rPr>
      <w:rFonts w:ascii="Tahoma" w:hAnsi="Tahoma"/>
      <w:sz w:val="24"/>
      <w:szCs w:val="24"/>
      <w:lang w:val="pl-PL" w:eastAsia="pl-PL"/>
    </w:rPr>
  </w:style>
  <w:style w:type="paragraph" w:customStyle="1" w:styleId="Subject">
    <w:name w:val="Subject"/>
    <w:basedOn w:val="Normal"/>
    <w:rsid w:val="00B66DF8"/>
    <w:pPr>
      <w:keepNext/>
      <w:keepLines/>
      <w:spacing w:line="290" w:lineRule="atLeast"/>
      <w:jc w:val="left"/>
    </w:pPr>
    <w:rPr>
      <w:b/>
      <w:sz w:val="24"/>
      <w:lang w:val="en-GB"/>
    </w:rPr>
  </w:style>
  <w:style w:type="paragraph" w:customStyle="1" w:styleId="CharCharCharCarattereCarattereCharCharCharCharCharCharCharCharCharChar">
    <w:name w:val="Char Char Char Carattere Carattere Char Char Char Char Char Char Char Char Char Char"/>
    <w:basedOn w:val="Normal"/>
    <w:semiHidden/>
    <w:rsid w:val="00B66DF8"/>
    <w:pPr>
      <w:spacing w:after="160" w:line="240" w:lineRule="exact"/>
      <w:jc w:val="left"/>
    </w:pPr>
    <w:rPr>
      <w:rFonts w:ascii="Tahoma" w:hAnsi="Tahoma"/>
      <w:sz w:val="18"/>
    </w:rPr>
  </w:style>
  <w:style w:type="paragraph" w:customStyle="1" w:styleId="BodyText21">
    <w:name w:val="Body Text 21"/>
    <w:basedOn w:val="Normal"/>
    <w:rsid w:val="00B66DF8"/>
    <w:pPr>
      <w:spacing w:line="240" w:lineRule="atLeast"/>
    </w:pPr>
    <w:rPr>
      <w:sz w:val="20"/>
    </w:rPr>
  </w:style>
  <w:style w:type="paragraph" w:customStyle="1" w:styleId="a">
    <w:name w:val="Нова страница"/>
    <w:basedOn w:val="Normal"/>
    <w:rsid w:val="00B66DF8"/>
    <w:pPr>
      <w:tabs>
        <w:tab w:val="right" w:pos="6123"/>
      </w:tabs>
      <w:spacing w:before="160" w:line="258" w:lineRule="exact"/>
      <w:ind w:firstLine="397"/>
    </w:pPr>
    <w:rPr>
      <w:kern w:val="18"/>
    </w:rPr>
  </w:style>
  <w:style w:type="paragraph" w:customStyle="1" w:styleId="TableText">
    <w:name w:val="Table Text"/>
    <w:basedOn w:val="Normal"/>
    <w:link w:val="TableTextChar1"/>
    <w:rsid w:val="00B66DF8"/>
    <w:pPr>
      <w:keepNext/>
      <w:keepLines/>
      <w:jc w:val="left"/>
    </w:pPr>
    <w:rPr>
      <w:rFonts w:ascii="Arial" w:hAnsi="Arial"/>
      <w:sz w:val="18"/>
      <w:szCs w:val="18"/>
      <w:lang w:val="en-GB"/>
    </w:rPr>
  </w:style>
  <w:style w:type="character" w:customStyle="1" w:styleId="TableTextChar1">
    <w:name w:val="Table Text Char1"/>
    <w:link w:val="TableText"/>
    <w:rsid w:val="00B66DF8"/>
    <w:rPr>
      <w:rFonts w:ascii="Arial" w:eastAsia="Times New Roman" w:hAnsi="Arial" w:cs="Times New Roman"/>
      <w:sz w:val="18"/>
      <w:szCs w:val="18"/>
      <w:lang w:val="en-GB"/>
    </w:rPr>
  </w:style>
  <w:style w:type="paragraph" w:customStyle="1" w:styleId="TableTextBold">
    <w:name w:val="TableTextBold"/>
    <w:basedOn w:val="Normal"/>
    <w:rsid w:val="00B66DF8"/>
    <w:pPr>
      <w:widowControl w:val="0"/>
      <w:autoSpaceDE w:val="0"/>
      <w:autoSpaceDN w:val="0"/>
      <w:adjustRightInd w:val="0"/>
      <w:jc w:val="left"/>
    </w:pPr>
    <w:rPr>
      <w:rFonts w:ascii="Garamond" w:hAnsi="Garamond"/>
      <w:b/>
      <w:bCs/>
      <w:color w:val="000000"/>
      <w:sz w:val="20"/>
      <w:szCs w:val="24"/>
      <w:lang w:val="en-GB" w:eastAsia="en-GB"/>
    </w:rPr>
  </w:style>
  <w:style w:type="paragraph" w:customStyle="1" w:styleId="TableTextNormal">
    <w:name w:val="TableTextNormal"/>
    <w:basedOn w:val="Normal"/>
    <w:rsid w:val="00B66DF8"/>
    <w:pPr>
      <w:widowControl w:val="0"/>
      <w:autoSpaceDE w:val="0"/>
      <w:autoSpaceDN w:val="0"/>
      <w:adjustRightInd w:val="0"/>
      <w:jc w:val="left"/>
    </w:pPr>
    <w:rPr>
      <w:rFonts w:ascii="Garamond" w:hAnsi="Garamond"/>
      <w:color w:val="000000"/>
      <w:sz w:val="20"/>
      <w:szCs w:val="24"/>
      <w:lang w:val="en-GB" w:eastAsia="en-GB"/>
    </w:rPr>
  </w:style>
  <w:style w:type="paragraph" w:styleId="TOC4">
    <w:name w:val="toc 4"/>
    <w:basedOn w:val="Normal"/>
    <w:next w:val="Normal"/>
    <w:autoRedefine/>
    <w:uiPriority w:val="39"/>
    <w:unhideWhenUsed/>
    <w:rsid w:val="00B66DF8"/>
    <w:pPr>
      <w:spacing w:after="100" w:line="276" w:lineRule="auto"/>
      <w:ind w:left="660"/>
      <w:jc w:val="left"/>
    </w:pPr>
    <w:rPr>
      <w:rFonts w:ascii="Calibri" w:hAnsi="Calibri"/>
      <w:szCs w:val="22"/>
      <w:lang w:eastAsia="bg-BG"/>
    </w:rPr>
  </w:style>
  <w:style w:type="paragraph" w:styleId="TOC5">
    <w:name w:val="toc 5"/>
    <w:basedOn w:val="Normal"/>
    <w:next w:val="Normal"/>
    <w:autoRedefine/>
    <w:uiPriority w:val="39"/>
    <w:unhideWhenUsed/>
    <w:rsid w:val="00B66DF8"/>
    <w:pPr>
      <w:spacing w:after="100" w:line="276" w:lineRule="auto"/>
      <w:ind w:left="880"/>
      <w:jc w:val="left"/>
    </w:pPr>
    <w:rPr>
      <w:rFonts w:ascii="Calibri" w:hAnsi="Calibri"/>
      <w:szCs w:val="22"/>
      <w:lang w:eastAsia="bg-BG"/>
    </w:rPr>
  </w:style>
  <w:style w:type="paragraph" w:styleId="TOC6">
    <w:name w:val="toc 6"/>
    <w:basedOn w:val="Normal"/>
    <w:next w:val="Normal"/>
    <w:autoRedefine/>
    <w:uiPriority w:val="39"/>
    <w:unhideWhenUsed/>
    <w:rsid w:val="00B66DF8"/>
    <w:pPr>
      <w:spacing w:after="100" w:line="276" w:lineRule="auto"/>
      <w:ind w:left="1100"/>
      <w:jc w:val="left"/>
    </w:pPr>
    <w:rPr>
      <w:rFonts w:ascii="Calibri" w:hAnsi="Calibri"/>
      <w:szCs w:val="22"/>
      <w:lang w:eastAsia="bg-BG"/>
    </w:rPr>
  </w:style>
  <w:style w:type="paragraph" w:styleId="TOC7">
    <w:name w:val="toc 7"/>
    <w:basedOn w:val="Normal"/>
    <w:next w:val="Normal"/>
    <w:autoRedefine/>
    <w:uiPriority w:val="39"/>
    <w:unhideWhenUsed/>
    <w:rsid w:val="00B66DF8"/>
    <w:pPr>
      <w:spacing w:after="100" w:line="276" w:lineRule="auto"/>
      <w:ind w:left="1320"/>
      <w:jc w:val="left"/>
    </w:pPr>
    <w:rPr>
      <w:rFonts w:ascii="Calibri" w:hAnsi="Calibri"/>
      <w:szCs w:val="22"/>
      <w:lang w:eastAsia="bg-BG"/>
    </w:rPr>
  </w:style>
  <w:style w:type="paragraph" w:styleId="TOC8">
    <w:name w:val="toc 8"/>
    <w:basedOn w:val="Normal"/>
    <w:next w:val="Normal"/>
    <w:autoRedefine/>
    <w:uiPriority w:val="39"/>
    <w:unhideWhenUsed/>
    <w:rsid w:val="00B66DF8"/>
    <w:pPr>
      <w:spacing w:after="100" w:line="276" w:lineRule="auto"/>
      <w:ind w:left="1540"/>
      <w:jc w:val="left"/>
    </w:pPr>
    <w:rPr>
      <w:rFonts w:ascii="Calibri" w:hAnsi="Calibri"/>
      <w:szCs w:val="22"/>
      <w:lang w:eastAsia="bg-BG"/>
    </w:rPr>
  </w:style>
  <w:style w:type="paragraph" w:styleId="TOC9">
    <w:name w:val="toc 9"/>
    <w:basedOn w:val="Normal"/>
    <w:next w:val="Normal"/>
    <w:autoRedefine/>
    <w:uiPriority w:val="39"/>
    <w:unhideWhenUsed/>
    <w:rsid w:val="00B66DF8"/>
    <w:pPr>
      <w:spacing w:after="100" w:line="276" w:lineRule="auto"/>
      <w:ind w:left="1760"/>
      <w:jc w:val="left"/>
    </w:pPr>
    <w:rPr>
      <w:rFonts w:ascii="Calibri" w:hAnsi="Calibri"/>
      <w:szCs w:val="22"/>
      <w:lang w:eastAsia="bg-BG"/>
    </w:rPr>
  </w:style>
  <w:style w:type="paragraph" w:customStyle="1" w:styleId="xl36">
    <w:name w:val="xl36"/>
    <w:basedOn w:val="Normal"/>
    <w:rsid w:val="00B66DF8"/>
    <w:pPr>
      <w:spacing w:before="100" w:beforeAutospacing="1" w:after="100" w:afterAutospacing="1"/>
      <w:jc w:val="left"/>
    </w:pPr>
    <w:rPr>
      <w:rFonts w:eastAsia="Arial Unicode MS"/>
      <w:b/>
      <w:bCs/>
      <w:color w:val="000000"/>
      <w:szCs w:val="22"/>
      <w:lang w:val="en-GB"/>
    </w:rPr>
  </w:style>
  <w:style w:type="paragraph" w:customStyle="1" w:styleId="xl54">
    <w:name w:val="xl54"/>
    <w:basedOn w:val="Normal"/>
    <w:rsid w:val="00B66DF8"/>
    <w:pPr>
      <w:spacing w:before="100" w:beforeAutospacing="1" w:after="100" w:afterAutospacing="1"/>
      <w:jc w:val="left"/>
      <w:textAlignment w:val="center"/>
    </w:pPr>
    <w:rPr>
      <w:rFonts w:eastAsia="Arial Unicode MS"/>
      <w:i/>
      <w:iCs/>
      <w:szCs w:val="22"/>
      <w:lang w:val="en-GB"/>
    </w:rPr>
  </w:style>
  <w:style w:type="character" w:customStyle="1" w:styleId="hps">
    <w:name w:val="hps"/>
    <w:basedOn w:val="DefaultParagraphFont"/>
    <w:rsid w:val="00B66DF8"/>
  </w:style>
  <w:style w:type="paragraph" w:styleId="HTMLPreformatted">
    <w:name w:val="HTML Preformatted"/>
    <w:basedOn w:val="Normal"/>
    <w:link w:val="HTMLPreformattedChar"/>
    <w:uiPriority w:val="99"/>
    <w:unhideWhenUsed/>
    <w:rsid w:val="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PreformattedChar">
    <w:name w:val="HTML Preformatted Char"/>
    <w:basedOn w:val="DefaultParagraphFont"/>
    <w:link w:val="HTMLPreformatted"/>
    <w:uiPriority w:val="99"/>
    <w:rsid w:val="00B66DF8"/>
    <w:rPr>
      <w:rFonts w:ascii="Courier" w:eastAsia="Times New Roman" w:hAnsi="Courier" w:cs="Times New Roman"/>
      <w:sz w:val="13"/>
      <w:szCs w:val="13"/>
    </w:rPr>
  </w:style>
  <w:style w:type="character" w:customStyle="1" w:styleId="atn">
    <w:name w:val="atn"/>
    <w:basedOn w:val="DefaultParagraphFont"/>
    <w:rsid w:val="00B66DF8"/>
  </w:style>
  <w:style w:type="character" w:customStyle="1" w:styleId="apple-style-span">
    <w:name w:val="apple-style-span"/>
    <w:basedOn w:val="DefaultParagraphFont"/>
    <w:rsid w:val="00B66DF8"/>
  </w:style>
  <w:style w:type="character" w:customStyle="1" w:styleId="3">
    <w:name w:val="Основен текст (3)_"/>
    <w:link w:val="30"/>
    <w:rsid w:val="00B66DF8"/>
    <w:rPr>
      <w:rFonts w:ascii="Times New Roman" w:eastAsia="Times New Roman" w:hAnsi="Times New Roman"/>
      <w:b/>
      <w:bCs/>
      <w:i/>
      <w:iCs/>
      <w:spacing w:val="-3"/>
      <w:sz w:val="18"/>
      <w:szCs w:val="18"/>
      <w:shd w:val="clear" w:color="auto" w:fill="FFFFFF"/>
    </w:rPr>
  </w:style>
  <w:style w:type="paragraph" w:customStyle="1" w:styleId="30">
    <w:name w:val="Основен текст (3)"/>
    <w:basedOn w:val="Normal"/>
    <w:link w:val="3"/>
    <w:rsid w:val="00B66DF8"/>
    <w:pPr>
      <w:widowControl w:val="0"/>
      <w:shd w:val="clear" w:color="auto" w:fill="FFFFFF"/>
      <w:spacing w:after="60" w:line="0" w:lineRule="atLeast"/>
      <w:jc w:val="left"/>
    </w:pPr>
    <w:rPr>
      <w:rFonts w:cstheme="minorBidi"/>
      <w:b/>
      <w:bCs/>
      <w:i/>
      <w:iCs/>
      <w:spacing w:val="-3"/>
      <w:sz w:val="18"/>
      <w:szCs w:val="18"/>
    </w:rPr>
  </w:style>
  <w:style w:type="character" w:customStyle="1" w:styleId="a0">
    <w:name w:val="Основен текст_"/>
    <w:link w:val="1"/>
    <w:rsid w:val="00B66DF8"/>
    <w:rPr>
      <w:rFonts w:ascii="Times New Roman" w:eastAsia="Times New Roman" w:hAnsi="Times New Roman"/>
      <w:spacing w:val="2"/>
      <w:sz w:val="16"/>
      <w:szCs w:val="16"/>
      <w:shd w:val="clear" w:color="auto" w:fill="FFFFFF"/>
    </w:rPr>
  </w:style>
  <w:style w:type="paragraph" w:customStyle="1" w:styleId="1">
    <w:name w:val="Основен текст1"/>
    <w:basedOn w:val="Normal"/>
    <w:link w:val="a0"/>
    <w:rsid w:val="00B66DF8"/>
    <w:pPr>
      <w:widowControl w:val="0"/>
      <w:shd w:val="clear" w:color="auto" w:fill="FFFFFF"/>
      <w:spacing w:before="60" w:after="180" w:line="262" w:lineRule="exact"/>
    </w:pPr>
    <w:rPr>
      <w:rFonts w:cstheme="minorBidi"/>
      <w:spacing w:val="2"/>
      <w:sz w:val="16"/>
      <w:szCs w:val="16"/>
    </w:rPr>
  </w:style>
  <w:style w:type="character" w:customStyle="1" w:styleId="4">
    <w:name w:val="Основен текст (4)_"/>
    <w:link w:val="40"/>
    <w:rsid w:val="00B66DF8"/>
    <w:rPr>
      <w:rFonts w:ascii="Times New Roman" w:eastAsia="Times New Roman" w:hAnsi="Times New Roman"/>
      <w:i/>
      <w:iCs/>
      <w:spacing w:val="-1"/>
      <w:sz w:val="18"/>
      <w:szCs w:val="18"/>
      <w:shd w:val="clear" w:color="auto" w:fill="FFFFFF"/>
    </w:rPr>
  </w:style>
  <w:style w:type="paragraph" w:customStyle="1" w:styleId="40">
    <w:name w:val="Основен текст (4)"/>
    <w:basedOn w:val="Normal"/>
    <w:link w:val="4"/>
    <w:rsid w:val="00B66DF8"/>
    <w:pPr>
      <w:widowControl w:val="0"/>
      <w:shd w:val="clear" w:color="auto" w:fill="FFFFFF"/>
      <w:spacing w:before="180" w:after="180" w:line="0" w:lineRule="atLeast"/>
      <w:jc w:val="left"/>
    </w:pPr>
    <w:rPr>
      <w:rFonts w:cstheme="minorBidi"/>
      <w:i/>
      <w:iCs/>
      <w:spacing w:val="-1"/>
      <w:sz w:val="18"/>
      <w:szCs w:val="18"/>
    </w:rPr>
  </w:style>
  <w:style w:type="character" w:customStyle="1" w:styleId="5">
    <w:name w:val="Основен текст (5)_"/>
    <w:link w:val="50"/>
    <w:rsid w:val="00B66DF8"/>
    <w:rPr>
      <w:rFonts w:ascii="Times New Roman" w:eastAsia="Times New Roman" w:hAnsi="Times New Roman"/>
      <w:b/>
      <w:bCs/>
      <w:spacing w:val="2"/>
      <w:sz w:val="17"/>
      <w:szCs w:val="17"/>
      <w:shd w:val="clear" w:color="auto" w:fill="FFFFFF"/>
    </w:rPr>
  </w:style>
  <w:style w:type="paragraph" w:customStyle="1" w:styleId="50">
    <w:name w:val="Основен текст (5)"/>
    <w:basedOn w:val="Normal"/>
    <w:link w:val="5"/>
    <w:rsid w:val="00B66DF8"/>
    <w:pPr>
      <w:widowControl w:val="0"/>
      <w:shd w:val="clear" w:color="auto" w:fill="FFFFFF"/>
      <w:spacing w:line="0" w:lineRule="atLeast"/>
      <w:ind w:hanging="460"/>
      <w:jc w:val="left"/>
    </w:pPr>
    <w:rPr>
      <w:rFonts w:cstheme="minorBidi"/>
      <w:b/>
      <w:bCs/>
      <w:spacing w:val="2"/>
      <w:sz w:val="17"/>
      <w:szCs w:val="17"/>
    </w:rPr>
  </w:style>
  <w:style w:type="character" w:customStyle="1" w:styleId="10pt0pt80">
    <w:name w:val="Основен текст + 10 pt;Разредка 0 pt;Мащаб 80%"/>
    <w:rsid w:val="00B66DF8"/>
    <w:rPr>
      <w:rFonts w:ascii="Times New Roman" w:eastAsia="Times New Roman" w:hAnsi="Times New Roman" w:cs="Times New Roman"/>
      <w:b w:val="0"/>
      <w:bCs w:val="0"/>
      <w:i w:val="0"/>
      <w:iCs w:val="0"/>
      <w:smallCaps w:val="0"/>
      <w:strike w:val="0"/>
      <w:color w:val="000000"/>
      <w:spacing w:val="1"/>
      <w:w w:val="80"/>
      <w:position w:val="0"/>
      <w:sz w:val="20"/>
      <w:szCs w:val="20"/>
      <w:u w:val="none"/>
      <w:shd w:val="clear" w:color="auto" w:fill="FFFFFF"/>
      <w:lang w:val="bg-BG"/>
    </w:rPr>
  </w:style>
  <w:style w:type="character" w:customStyle="1" w:styleId="0pt">
    <w:name w:val="Основен текст + Разредка 0 pt"/>
    <w:rsid w:val="00B66DF8"/>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bg-BG"/>
    </w:rPr>
  </w:style>
  <w:style w:type="character" w:customStyle="1" w:styleId="59pt0pt">
    <w:name w:val="Основен текст (5) + 9 pt;Курсив;Разредка 0 pt"/>
    <w:rsid w:val="00B66DF8"/>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bg-BG"/>
    </w:rPr>
  </w:style>
  <w:style w:type="character" w:customStyle="1" w:styleId="10">
    <w:name w:val="Заглавие #1_"/>
    <w:link w:val="11"/>
    <w:rsid w:val="00B66DF8"/>
    <w:rPr>
      <w:rFonts w:ascii="Times New Roman" w:eastAsia="Times New Roman" w:hAnsi="Times New Roman"/>
      <w:spacing w:val="1"/>
      <w:w w:val="80"/>
      <w:shd w:val="clear" w:color="auto" w:fill="FFFFFF"/>
    </w:rPr>
  </w:style>
  <w:style w:type="paragraph" w:customStyle="1" w:styleId="11">
    <w:name w:val="Заглавие #1"/>
    <w:basedOn w:val="Normal"/>
    <w:link w:val="10"/>
    <w:rsid w:val="00B66DF8"/>
    <w:pPr>
      <w:widowControl w:val="0"/>
      <w:shd w:val="clear" w:color="auto" w:fill="FFFFFF"/>
      <w:spacing w:line="262" w:lineRule="exact"/>
      <w:outlineLvl w:val="0"/>
    </w:pPr>
    <w:rPr>
      <w:rFonts w:cstheme="minorBidi"/>
      <w:spacing w:val="1"/>
      <w:w w:val="80"/>
      <w:szCs w:val="22"/>
    </w:rPr>
  </w:style>
  <w:style w:type="paragraph" w:customStyle="1" w:styleId="Style46">
    <w:name w:val="Style46"/>
    <w:basedOn w:val="Normal"/>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47">
    <w:name w:val="Style47"/>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48">
    <w:name w:val="Style48"/>
    <w:basedOn w:val="Normal"/>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character" w:customStyle="1" w:styleId="FontStyle78">
    <w:name w:val="Font Style78"/>
    <w:rsid w:val="00B66DF8"/>
    <w:rPr>
      <w:rFonts w:ascii="Arial" w:hAnsi="Arial" w:cs="Arial"/>
      <w:sz w:val="14"/>
      <w:szCs w:val="14"/>
    </w:rPr>
  </w:style>
  <w:style w:type="paragraph" w:customStyle="1" w:styleId="Style4">
    <w:name w:val="Style4"/>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50">
    <w:name w:val="Style50"/>
    <w:basedOn w:val="Normal"/>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paragraph" w:customStyle="1" w:styleId="Style51">
    <w:name w:val="Style51"/>
    <w:basedOn w:val="Normal"/>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9">
    <w:name w:val="Style9"/>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14">
    <w:name w:val="Style14"/>
    <w:basedOn w:val="Normal"/>
    <w:rsid w:val="00B66DF8"/>
    <w:pPr>
      <w:widowControl w:val="0"/>
      <w:autoSpaceDE w:val="0"/>
      <w:autoSpaceDN w:val="0"/>
      <w:adjustRightInd w:val="0"/>
      <w:spacing w:line="266" w:lineRule="exact"/>
    </w:pPr>
    <w:rPr>
      <w:rFonts w:ascii="Arial" w:eastAsia="MS Mincho" w:hAnsi="Arial" w:cs="Arial"/>
      <w:sz w:val="24"/>
      <w:szCs w:val="24"/>
      <w:lang w:eastAsia="ja-JP"/>
    </w:rPr>
  </w:style>
  <w:style w:type="paragraph" w:customStyle="1" w:styleId="Style15">
    <w:name w:val="Style15"/>
    <w:basedOn w:val="Normal"/>
    <w:rsid w:val="00B66DF8"/>
    <w:pPr>
      <w:widowControl w:val="0"/>
      <w:autoSpaceDE w:val="0"/>
      <w:autoSpaceDN w:val="0"/>
      <w:adjustRightInd w:val="0"/>
      <w:spacing w:line="216" w:lineRule="exact"/>
      <w:ind w:firstLine="106"/>
    </w:pPr>
    <w:rPr>
      <w:rFonts w:ascii="Arial" w:eastAsia="MS Mincho" w:hAnsi="Arial" w:cs="Arial"/>
      <w:sz w:val="24"/>
      <w:szCs w:val="24"/>
      <w:lang w:eastAsia="ja-JP"/>
    </w:rPr>
  </w:style>
  <w:style w:type="character" w:customStyle="1" w:styleId="FontStyle27">
    <w:name w:val="Font Style27"/>
    <w:rsid w:val="00B66DF8"/>
    <w:rPr>
      <w:rFonts w:ascii="Arial" w:hAnsi="Arial" w:cs="Arial"/>
      <w:b/>
      <w:bCs/>
      <w:sz w:val="18"/>
      <w:szCs w:val="18"/>
    </w:rPr>
  </w:style>
  <w:style w:type="character" w:customStyle="1" w:styleId="FontStyle28">
    <w:name w:val="Font Style28"/>
    <w:rsid w:val="00B66DF8"/>
    <w:rPr>
      <w:rFonts w:ascii="Arial" w:hAnsi="Arial" w:cs="Arial"/>
      <w:sz w:val="16"/>
      <w:szCs w:val="16"/>
    </w:rPr>
  </w:style>
  <w:style w:type="paragraph" w:customStyle="1" w:styleId="Style12">
    <w:name w:val="Style12"/>
    <w:basedOn w:val="Normal"/>
    <w:rsid w:val="00B66DF8"/>
    <w:pPr>
      <w:widowControl w:val="0"/>
      <w:autoSpaceDE w:val="0"/>
      <w:autoSpaceDN w:val="0"/>
      <w:adjustRightInd w:val="0"/>
      <w:jc w:val="left"/>
    </w:pPr>
    <w:rPr>
      <w:rFonts w:ascii="Arial" w:eastAsia="MS Mincho" w:hAnsi="Arial" w:cs="Arial"/>
      <w:sz w:val="24"/>
      <w:szCs w:val="24"/>
      <w:lang w:eastAsia="ja-JP"/>
    </w:rPr>
  </w:style>
  <w:style w:type="character" w:customStyle="1" w:styleId="FontStyle33">
    <w:name w:val="Font Style33"/>
    <w:rsid w:val="00B66DF8"/>
    <w:rPr>
      <w:rFonts w:ascii="Arial" w:hAnsi="Arial" w:cs="Arial"/>
      <w:sz w:val="14"/>
      <w:szCs w:val="14"/>
    </w:rPr>
  </w:style>
  <w:style w:type="paragraph" w:styleId="NormalWeb">
    <w:name w:val="Normal (Web)"/>
    <w:basedOn w:val="Normal"/>
    <w:uiPriority w:val="99"/>
    <w:rsid w:val="00B66DF8"/>
    <w:pPr>
      <w:spacing w:before="100" w:beforeAutospacing="1" w:after="100" w:afterAutospacing="1"/>
      <w:jc w:val="left"/>
    </w:pPr>
    <w:rPr>
      <w:sz w:val="24"/>
      <w:szCs w:val="24"/>
      <w:lang w:eastAsia="bg-BG"/>
    </w:rPr>
  </w:style>
  <w:style w:type="paragraph" w:styleId="FootnoteText">
    <w:name w:val="footnote text"/>
    <w:basedOn w:val="Normal"/>
    <w:link w:val="FootnoteTextChar"/>
    <w:uiPriority w:val="99"/>
    <w:unhideWhenUsed/>
    <w:rsid w:val="00B66DF8"/>
    <w:pPr>
      <w:spacing w:after="200" w:line="276"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B66DF8"/>
    <w:rPr>
      <w:rFonts w:ascii="Calibri" w:eastAsia="Calibri" w:hAnsi="Calibri" w:cs="Times New Roman"/>
      <w:sz w:val="20"/>
      <w:szCs w:val="20"/>
    </w:rPr>
  </w:style>
  <w:style w:type="character" w:styleId="FootnoteReference">
    <w:name w:val="footnote reference"/>
    <w:uiPriority w:val="99"/>
    <w:unhideWhenUsed/>
    <w:rsid w:val="00B66DF8"/>
    <w:rPr>
      <w:vertAlign w:val="superscript"/>
    </w:rPr>
  </w:style>
  <w:style w:type="character" w:customStyle="1" w:styleId="ldef">
    <w:name w:val="ldef"/>
    <w:rsid w:val="00B66DF8"/>
  </w:style>
  <w:style w:type="character" w:styleId="EndnoteReference">
    <w:name w:val="endnote reference"/>
    <w:uiPriority w:val="99"/>
    <w:unhideWhenUsed/>
    <w:rsid w:val="00B66DF8"/>
    <w:rPr>
      <w:vertAlign w:val="superscript"/>
    </w:rPr>
  </w:style>
  <w:style w:type="paragraph" w:styleId="DocumentMap">
    <w:name w:val="Document Map"/>
    <w:basedOn w:val="Normal"/>
    <w:link w:val="DocumentMapChar"/>
    <w:rsid w:val="00B66DF8"/>
    <w:rPr>
      <w:rFonts w:ascii="Tahoma" w:hAnsi="Tahoma" w:cs="Tahoma"/>
      <w:sz w:val="16"/>
      <w:szCs w:val="16"/>
      <w:lang w:val="en-US"/>
    </w:rPr>
  </w:style>
  <w:style w:type="character" w:customStyle="1" w:styleId="DocumentMapChar">
    <w:name w:val="Document Map Char"/>
    <w:basedOn w:val="DefaultParagraphFont"/>
    <w:link w:val="DocumentMap"/>
    <w:rsid w:val="00B66DF8"/>
    <w:rPr>
      <w:rFonts w:ascii="Tahoma" w:eastAsia="Times New Roman" w:hAnsi="Tahoma" w:cs="Tahoma"/>
      <w:sz w:val="16"/>
      <w:szCs w:val="16"/>
      <w:lang w:val="en-US"/>
    </w:rPr>
  </w:style>
  <w:style w:type="character" w:customStyle="1" w:styleId="search1">
    <w:name w:val="search1"/>
    <w:rsid w:val="00B66DF8"/>
  </w:style>
  <w:style w:type="character" w:customStyle="1" w:styleId="move-down">
    <w:name w:val="move-down"/>
    <w:rsid w:val="00B66DF8"/>
  </w:style>
  <w:style w:type="paragraph" w:styleId="Revision">
    <w:name w:val="Revision"/>
    <w:hidden/>
    <w:uiPriority w:val="99"/>
    <w:semiHidden/>
    <w:rsid w:val="00B66DF8"/>
    <w:pPr>
      <w:spacing w:after="0" w:line="240" w:lineRule="auto"/>
    </w:pPr>
    <w:rPr>
      <w:rFonts w:ascii="Times New Roman" w:eastAsia="Times New Roman" w:hAnsi="Times New Roman" w:cs="Times New Roman"/>
      <w:szCs w:val="20"/>
    </w:rPr>
  </w:style>
  <w:style w:type="paragraph" w:customStyle="1" w:styleId="CM1">
    <w:name w:val="CM1"/>
    <w:basedOn w:val="Normal"/>
    <w:next w:val="Normal"/>
    <w:uiPriority w:val="99"/>
    <w:rsid w:val="00B66DF8"/>
    <w:pPr>
      <w:autoSpaceDE w:val="0"/>
      <w:autoSpaceDN w:val="0"/>
      <w:adjustRightInd w:val="0"/>
      <w:jc w:val="left"/>
    </w:pPr>
    <w:rPr>
      <w:rFonts w:eastAsia="Calibri"/>
      <w:sz w:val="24"/>
      <w:szCs w:val="24"/>
      <w:lang w:eastAsia="bg-BG"/>
    </w:rPr>
  </w:style>
  <w:style w:type="paragraph" w:customStyle="1" w:styleId="CM3">
    <w:name w:val="CM3"/>
    <w:basedOn w:val="Normal"/>
    <w:next w:val="Normal"/>
    <w:uiPriority w:val="99"/>
    <w:rsid w:val="00B66DF8"/>
    <w:pPr>
      <w:autoSpaceDE w:val="0"/>
      <w:autoSpaceDN w:val="0"/>
      <w:adjustRightInd w:val="0"/>
      <w:jc w:val="left"/>
    </w:pPr>
    <w:rPr>
      <w:rFonts w:eastAsia="Calibri"/>
      <w:sz w:val="24"/>
      <w:szCs w:val="24"/>
      <w:lang w:eastAsia="bg-BG"/>
    </w:rPr>
  </w:style>
  <w:style w:type="paragraph" w:customStyle="1" w:styleId="CM10">
    <w:name w:val="CM10"/>
    <w:basedOn w:val="Normal"/>
    <w:uiPriority w:val="99"/>
    <w:rsid w:val="00B66DF8"/>
    <w:pPr>
      <w:widowControl w:val="0"/>
      <w:autoSpaceDE w:val="0"/>
      <w:autoSpaceDN w:val="0"/>
      <w:adjustRightInd w:val="0"/>
      <w:spacing w:before="120" w:after="120" w:line="260" w:lineRule="atLeast"/>
      <w:jc w:val="left"/>
    </w:pPr>
    <w:rPr>
      <w:color w:val="211E1F"/>
      <w:sz w:val="20"/>
      <w:lang w:val="en-GB"/>
    </w:rPr>
  </w:style>
  <w:style w:type="character" w:customStyle="1" w:styleId="UnresolvedMention1">
    <w:name w:val="Unresolved Mention1"/>
    <w:uiPriority w:val="99"/>
    <w:semiHidden/>
    <w:unhideWhenUsed/>
    <w:rsid w:val="00B66DF8"/>
    <w:rPr>
      <w:color w:val="605E5C"/>
      <w:shd w:val="clear" w:color="auto" w:fill="E1DFDD"/>
    </w:rPr>
  </w:style>
  <w:style w:type="paragraph" w:styleId="z-TopofForm">
    <w:name w:val="HTML Top of Form"/>
    <w:basedOn w:val="Normal"/>
    <w:next w:val="Normal"/>
    <w:link w:val="z-TopofFormChar"/>
    <w:hidden/>
    <w:uiPriority w:val="99"/>
    <w:semiHidden/>
    <w:unhideWhenUsed/>
    <w:rsid w:val="003312C8"/>
    <w:pPr>
      <w:pBdr>
        <w:bottom w:val="single" w:sz="6" w:space="1" w:color="auto"/>
      </w:pBdr>
      <w:jc w:val="center"/>
    </w:pPr>
    <w:rPr>
      <w:rFonts w:ascii="Arial" w:hAnsi="Arial" w:cs="Arial"/>
      <w:vanish/>
      <w:sz w:val="16"/>
      <w:szCs w:val="16"/>
      <w:lang w:eastAsia="bg-BG"/>
    </w:rPr>
  </w:style>
  <w:style w:type="character" w:customStyle="1" w:styleId="z-TopofFormChar">
    <w:name w:val="z-Top of Form Char"/>
    <w:basedOn w:val="DefaultParagraphFont"/>
    <w:link w:val="z-TopofForm"/>
    <w:uiPriority w:val="99"/>
    <w:semiHidden/>
    <w:rsid w:val="003312C8"/>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iPriority w:val="99"/>
    <w:unhideWhenUsed/>
    <w:rsid w:val="003312C8"/>
    <w:pPr>
      <w:pBdr>
        <w:top w:val="single" w:sz="6" w:space="1" w:color="auto"/>
      </w:pBdr>
      <w:jc w:val="center"/>
    </w:pPr>
    <w:rPr>
      <w:rFonts w:ascii="Arial" w:hAnsi="Arial" w:cs="Arial"/>
      <w:vanish/>
      <w:sz w:val="16"/>
      <w:szCs w:val="16"/>
      <w:lang w:eastAsia="bg-BG"/>
    </w:rPr>
  </w:style>
  <w:style w:type="character" w:customStyle="1" w:styleId="z-BottomofFormChar">
    <w:name w:val="z-Bottom of Form Char"/>
    <w:basedOn w:val="DefaultParagraphFont"/>
    <w:link w:val="z-BottomofForm"/>
    <w:uiPriority w:val="99"/>
    <w:rsid w:val="003312C8"/>
    <w:rPr>
      <w:rFonts w:ascii="Arial" w:eastAsia="Times New Roman" w:hAnsi="Arial" w:cs="Arial"/>
      <w:vanish/>
      <w:sz w:val="16"/>
      <w:szCs w:val="16"/>
      <w:lang w:eastAsia="bg-BG"/>
    </w:rPr>
  </w:style>
  <w:style w:type="character" w:customStyle="1" w:styleId="a1">
    <w:name w:val="Горен или долен колонтитул_"/>
    <w:basedOn w:val="DefaultParagraphFont"/>
    <w:link w:val="12"/>
    <w:uiPriority w:val="99"/>
    <w:rsid w:val="00341B34"/>
    <w:rPr>
      <w:rFonts w:ascii="Times New Roman" w:hAnsi="Times New Roman" w:cs="Times New Roman"/>
      <w:b/>
      <w:bCs/>
      <w:sz w:val="18"/>
      <w:szCs w:val="18"/>
      <w:shd w:val="clear" w:color="auto" w:fill="FFFFFF"/>
    </w:rPr>
  </w:style>
  <w:style w:type="character" w:customStyle="1" w:styleId="41">
    <w:name w:val="Основен текст4"/>
    <w:basedOn w:val="a0"/>
    <w:uiPriority w:val="99"/>
    <w:rsid w:val="00341B34"/>
    <w:rPr>
      <w:rFonts w:ascii="Times New Roman" w:eastAsia="Times New Roman" w:hAnsi="Times New Roman" w:cs="Times New Roman"/>
      <w:spacing w:val="2"/>
      <w:sz w:val="20"/>
      <w:szCs w:val="20"/>
      <w:u w:val="none"/>
      <w:shd w:val="clear" w:color="auto" w:fill="FFFFFF"/>
    </w:rPr>
  </w:style>
  <w:style w:type="character" w:customStyle="1" w:styleId="2">
    <w:name w:val="Горен или долен колонтитул2"/>
    <w:basedOn w:val="a1"/>
    <w:uiPriority w:val="99"/>
    <w:rsid w:val="00341B34"/>
    <w:rPr>
      <w:rFonts w:ascii="Times New Roman" w:hAnsi="Times New Roman" w:cs="Times New Roman"/>
      <w:b/>
      <w:bCs/>
      <w:sz w:val="18"/>
      <w:szCs w:val="18"/>
      <w:u w:val="single"/>
      <w:shd w:val="clear" w:color="auto" w:fill="FFFFFF"/>
    </w:rPr>
  </w:style>
  <w:style w:type="character" w:customStyle="1" w:styleId="31">
    <w:name w:val="Основен текст (3) + Удебелен"/>
    <w:basedOn w:val="3"/>
    <w:uiPriority w:val="99"/>
    <w:rsid w:val="00341B34"/>
    <w:rPr>
      <w:rFonts w:ascii="Times New Roman" w:eastAsia="Times New Roman" w:hAnsi="Times New Roman" w:cs="Times New Roman"/>
      <w:b/>
      <w:bCs/>
      <w:i/>
      <w:iCs/>
      <w:spacing w:val="-3"/>
      <w:sz w:val="20"/>
      <w:szCs w:val="20"/>
      <w:u w:val="none"/>
      <w:shd w:val="clear" w:color="auto" w:fill="FFFFFF"/>
    </w:rPr>
  </w:style>
  <w:style w:type="paragraph" w:customStyle="1" w:styleId="13">
    <w:name w:val="Основен текст1"/>
    <w:basedOn w:val="Normal"/>
    <w:uiPriority w:val="99"/>
    <w:rsid w:val="00341B34"/>
    <w:pPr>
      <w:widowControl w:val="0"/>
      <w:shd w:val="clear" w:color="auto" w:fill="FFFFFF"/>
      <w:spacing w:after="240" w:line="240" w:lineRule="atLeast"/>
      <w:ind w:hanging="6540"/>
    </w:pPr>
    <w:rPr>
      <w:sz w:val="20"/>
      <w:lang w:eastAsia="bg-BG"/>
    </w:rPr>
  </w:style>
  <w:style w:type="paragraph" w:customStyle="1" w:styleId="12">
    <w:name w:val="Горен или долен колонтитул1"/>
    <w:basedOn w:val="Normal"/>
    <w:link w:val="a1"/>
    <w:uiPriority w:val="99"/>
    <w:rsid w:val="00341B34"/>
    <w:pPr>
      <w:widowControl w:val="0"/>
      <w:shd w:val="clear" w:color="auto" w:fill="FFFFFF"/>
      <w:spacing w:line="240" w:lineRule="atLeast"/>
      <w:jc w:val="left"/>
    </w:pPr>
    <w:rPr>
      <w:rFonts w:eastAsiaTheme="minorHAnsi"/>
      <w:b/>
      <w:bCs/>
      <w:sz w:val="18"/>
      <w:szCs w:val="18"/>
    </w:rPr>
  </w:style>
  <w:style w:type="character" w:customStyle="1" w:styleId="000NormalChar">
    <w:name w:val="000 Normal Char"/>
    <w:link w:val="000Normal"/>
    <w:rsid w:val="00925E36"/>
    <w:rPr>
      <w:rFonts w:ascii="Garamond" w:eastAsia="Times New Roman" w:hAnsi="Garamond" w:cs="Times New Roman"/>
      <w:bCs/>
      <w:sz w:val="20"/>
      <w:szCs w:val="24"/>
    </w:rPr>
  </w:style>
  <w:style w:type="character" w:styleId="CommentReference">
    <w:name w:val="annotation reference"/>
    <w:semiHidden/>
    <w:rsid w:val="00CF65DB"/>
    <w:rPr>
      <w:sz w:val="16"/>
      <w:szCs w:val="16"/>
    </w:rPr>
  </w:style>
  <w:style w:type="paragraph" w:customStyle="1" w:styleId="AFA">
    <w:name w:val="AFA"/>
    <w:basedOn w:val="Normal"/>
    <w:rsid w:val="00CF65DB"/>
    <w:pPr>
      <w:suppressLineNumbers/>
      <w:tabs>
        <w:tab w:val="left" w:pos="709"/>
      </w:tabs>
      <w:suppressAutoHyphens/>
      <w:spacing w:before="120" w:after="120" w:line="312" w:lineRule="auto"/>
      <w:ind w:firstLine="709"/>
    </w:pPr>
  </w:style>
  <w:style w:type="paragraph" w:customStyle="1" w:styleId="NormalBold">
    <w:name w:val="Normal + Bold"/>
    <w:basedOn w:val="Normal"/>
    <w:rsid w:val="00EC17E2"/>
    <w:pPr>
      <w:jc w:val="left"/>
    </w:pPr>
  </w:style>
  <w:style w:type="paragraph" w:customStyle="1" w:styleId="NormalNoSpace">
    <w:name w:val="NormalNoSpace"/>
    <w:basedOn w:val="Normal"/>
    <w:uiPriority w:val="99"/>
    <w:rsid w:val="006F02F3"/>
    <w:pPr>
      <w:ind w:firstLine="567"/>
    </w:pPr>
    <w:rPr>
      <w:sz w:val="24"/>
      <w:lang w:eastAsia="bg-BG"/>
    </w:rPr>
  </w:style>
  <w:style w:type="paragraph" w:styleId="PlainText">
    <w:name w:val="Plain Text"/>
    <w:basedOn w:val="Normal"/>
    <w:link w:val="PlainTextChar"/>
    <w:rsid w:val="006F02F3"/>
    <w:pPr>
      <w:jc w:val="left"/>
    </w:pPr>
    <w:rPr>
      <w:rFonts w:ascii="Courier New" w:hAnsi="Courier New"/>
      <w:sz w:val="20"/>
    </w:rPr>
  </w:style>
  <w:style w:type="character" w:customStyle="1" w:styleId="PlainTextChar">
    <w:name w:val="Plain Text Char"/>
    <w:basedOn w:val="DefaultParagraphFont"/>
    <w:link w:val="PlainText"/>
    <w:rsid w:val="006F02F3"/>
    <w:rPr>
      <w:rFonts w:ascii="Courier New" w:eastAsia="Times New Roman" w:hAnsi="Courier New" w:cs="Times New Roman"/>
      <w:sz w:val="20"/>
      <w:szCs w:val="20"/>
    </w:rPr>
  </w:style>
  <w:style w:type="paragraph" w:customStyle="1" w:styleId="StyleBefore05line">
    <w:name w:val="Style Before:  0.5 line"/>
    <w:basedOn w:val="Normal"/>
    <w:uiPriority w:val="99"/>
    <w:rsid w:val="006F02F3"/>
    <w:pPr>
      <w:spacing w:beforeLines="50"/>
    </w:pPr>
    <w:rPr>
      <w:sz w:val="20"/>
      <w:lang w:val="en-US"/>
    </w:rPr>
  </w:style>
  <w:style w:type="paragraph" w:customStyle="1" w:styleId="Normal1">
    <w:name w:val="Normal 1"/>
    <w:basedOn w:val="Normal"/>
    <w:next w:val="Normal"/>
    <w:link w:val="Normal1Char"/>
    <w:uiPriority w:val="99"/>
    <w:rsid w:val="006F02F3"/>
    <w:pPr>
      <w:spacing w:before="120" w:after="120" w:line="264" w:lineRule="auto"/>
      <w:ind w:left="851"/>
    </w:pPr>
    <w:rPr>
      <w:rFonts w:ascii="Arial" w:hAnsi="Arial"/>
      <w:b/>
      <w:kern w:val="16"/>
      <w:szCs w:val="24"/>
    </w:rPr>
  </w:style>
  <w:style w:type="character" w:customStyle="1" w:styleId="Normal1Char">
    <w:name w:val="Normal 1 Char"/>
    <w:link w:val="Normal1"/>
    <w:uiPriority w:val="99"/>
    <w:locked/>
    <w:rsid w:val="006F02F3"/>
    <w:rPr>
      <w:rFonts w:ascii="Arial" w:eastAsia="Times New Roman" w:hAnsi="Arial" w:cs="Times New Roman"/>
      <w:b/>
      <w:kern w:val="16"/>
      <w:szCs w:val="24"/>
    </w:rPr>
  </w:style>
  <w:style w:type="paragraph" w:customStyle="1" w:styleId="tp0Char">
    <w:name w:val="tp0 Char"/>
    <w:basedOn w:val="NormalWeb"/>
    <w:link w:val="tp0CharChar"/>
    <w:uiPriority w:val="99"/>
    <w:rsid w:val="006F02F3"/>
    <w:pPr>
      <w:autoSpaceDE w:val="0"/>
      <w:autoSpaceDN w:val="0"/>
      <w:adjustRightInd w:val="0"/>
      <w:spacing w:before="0" w:beforeAutospacing="0" w:after="120" w:afterAutospacing="0" w:line="288" w:lineRule="auto"/>
      <w:jc w:val="both"/>
    </w:pPr>
    <w:rPr>
      <w:lang w:val="en-US" w:eastAsia="en-US"/>
    </w:rPr>
  </w:style>
  <w:style w:type="character" w:customStyle="1" w:styleId="tp0CharChar">
    <w:name w:val="tp0 Char Char"/>
    <w:link w:val="tp0Char"/>
    <w:uiPriority w:val="99"/>
    <w:locked/>
    <w:rsid w:val="006F02F3"/>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6F02F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6F02F3"/>
    <w:rPr>
      <w:rFonts w:ascii="Cambria" w:eastAsia="Times New Roman" w:hAnsi="Cambria" w:cs="Times New Roman"/>
      <w:b/>
      <w:bCs/>
      <w:kern w:val="28"/>
      <w:sz w:val="32"/>
      <w:szCs w:val="32"/>
    </w:rPr>
  </w:style>
  <w:style w:type="paragraph" w:customStyle="1" w:styleId="Default">
    <w:name w:val="Default"/>
    <w:rsid w:val="00791666"/>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paragraph" w:styleId="CommentText">
    <w:name w:val="annotation text"/>
    <w:basedOn w:val="Normal"/>
    <w:link w:val="CommentTextChar"/>
    <w:semiHidden/>
    <w:unhideWhenUsed/>
    <w:rsid w:val="00550973"/>
    <w:rPr>
      <w:sz w:val="20"/>
    </w:rPr>
  </w:style>
  <w:style w:type="character" w:customStyle="1" w:styleId="CommentTextChar">
    <w:name w:val="Comment Text Char"/>
    <w:basedOn w:val="DefaultParagraphFont"/>
    <w:link w:val="CommentText"/>
    <w:semiHidden/>
    <w:rsid w:val="005509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973"/>
    <w:rPr>
      <w:b/>
      <w:bCs/>
    </w:rPr>
  </w:style>
  <w:style w:type="character" w:customStyle="1" w:styleId="CommentSubjectChar">
    <w:name w:val="Comment Subject Char"/>
    <w:basedOn w:val="CommentTextChar"/>
    <w:link w:val="CommentSubject"/>
    <w:uiPriority w:val="99"/>
    <w:semiHidden/>
    <w:rsid w:val="00550973"/>
    <w:rPr>
      <w:rFonts w:ascii="Times New Roman" w:eastAsia="Times New Roman" w:hAnsi="Times New Roman" w:cs="Times New Roman"/>
      <w:b/>
      <w:bCs/>
      <w:sz w:val="20"/>
      <w:szCs w:val="20"/>
    </w:rPr>
  </w:style>
  <w:style w:type="character" w:customStyle="1" w:styleId="y2iqfc">
    <w:name w:val="y2iqfc"/>
    <w:basedOn w:val="DefaultParagraphFont"/>
    <w:rsid w:val="00DF3F33"/>
  </w:style>
  <w:style w:type="character" w:styleId="Strong">
    <w:name w:val="Strong"/>
    <w:basedOn w:val="DefaultParagraphFont"/>
    <w:uiPriority w:val="22"/>
    <w:qFormat/>
    <w:rsid w:val="001517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810">
      <w:bodyDiv w:val="1"/>
      <w:marLeft w:val="0"/>
      <w:marRight w:val="0"/>
      <w:marTop w:val="0"/>
      <w:marBottom w:val="0"/>
      <w:divBdr>
        <w:top w:val="none" w:sz="0" w:space="0" w:color="auto"/>
        <w:left w:val="none" w:sz="0" w:space="0" w:color="auto"/>
        <w:bottom w:val="none" w:sz="0" w:space="0" w:color="auto"/>
        <w:right w:val="none" w:sz="0" w:space="0" w:color="auto"/>
      </w:divBdr>
    </w:div>
    <w:div w:id="6756798">
      <w:bodyDiv w:val="1"/>
      <w:marLeft w:val="0"/>
      <w:marRight w:val="0"/>
      <w:marTop w:val="0"/>
      <w:marBottom w:val="0"/>
      <w:divBdr>
        <w:top w:val="none" w:sz="0" w:space="0" w:color="auto"/>
        <w:left w:val="none" w:sz="0" w:space="0" w:color="auto"/>
        <w:bottom w:val="none" w:sz="0" w:space="0" w:color="auto"/>
        <w:right w:val="none" w:sz="0" w:space="0" w:color="auto"/>
      </w:divBdr>
    </w:div>
    <w:div w:id="7147597">
      <w:bodyDiv w:val="1"/>
      <w:marLeft w:val="0"/>
      <w:marRight w:val="0"/>
      <w:marTop w:val="0"/>
      <w:marBottom w:val="0"/>
      <w:divBdr>
        <w:top w:val="none" w:sz="0" w:space="0" w:color="auto"/>
        <w:left w:val="none" w:sz="0" w:space="0" w:color="auto"/>
        <w:bottom w:val="none" w:sz="0" w:space="0" w:color="auto"/>
        <w:right w:val="none" w:sz="0" w:space="0" w:color="auto"/>
      </w:divBdr>
    </w:div>
    <w:div w:id="9185559">
      <w:bodyDiv w:val="1"/>
      <w:marLeft w:val="0"/>
      <w:marRight w:val="0"/>
      <w:marTop w:val="0"/>
      <w:marBottom w:val="0"/>
      <w:divBdr>
        <w:top w:val="none" w:sz="0" w:space="0" w:color="auto"/>
        <w:left w:val="none" w:sz="0" w:space="0" w:color="auto"/>
        <w:bottom w:val="none" w:sz="0" w:space="0" w:color="auto"/>
        <w:right w:val="none" w:sz="0" w:space="0" w:color="auto"/>
      </w:divBdr>
    </w:div>
    <w:div w:id="10109317">
      <w:bodyDiv w:val="1"/>
      <w:marLeft w:val="0"/>
      <w:marRight w:val="0"/>
      <w:marTop w:val="0"/>
      <w:marBottom w:val="0"/>
      <w:divBdr>
        <w:top w:val="none" w:sz="0" w:space="0" w:color="auto"/>
        <w:left w:val="none" w:sz="0" w:space="0" w:color="auto"/>
        <w:bottom w:val="none" w:sz="0" w:space="0" w:color="auto"/>
        <w:right w:val="none" w:sz="0" w:space="0" w:color="auto"/>
      </w:divBdr>
    </w:div>
    <w:div w:id="16590976">
      <w:bodyDiv w:val="1"/>
      <w:marLeft w:val="0"/>
      <w:marRight w:val="0"/>
      <w:marTop w:val="0"/>
      <w:marBottom w:val="0"/>
      <w:divBdr>
        <w:top w:val="none" w:sz="0" w:space="0" w:color="auto"/>
        <w:left w:val="none" w:sz="0" w:space="0" w:color="auto"/>
        <w:bottom w:val="none" w:sz="0" w:space="0" w:color="auto"/>
        <w:right w:val="none" w:sz="0" w:space="0" w:color="auto"/>
      </w:divBdr>
    </w:div>
    <w:div w:id="17901145">
      <w:bodyDiv w:val="1"/>
      <w:marLeft w:val="0"/>
      <w:marRight w:val="0"/>
      <w:marTop w:val="0"/>
      <w:marBottom w:val="0"/>
      <w:divBdr>
        <w:top w:val="none" w:sz="0" w:space="0" w:color="auto"/>
        <w:left w:val="none" w:sz="0" w:space="0" w:color="auto"/>
        <w:bottom w:val="none" w:sz="0" w:space="0" w:color="auto"/>
        <w:right w:val="none" w:sz="0" w:space="0" w:color="auto"/>
      </w:divBdr>
    </w:div>
    <w:div w:id="19472441">
      <w:bodyDiv w:val="1"/>
      <w:marLeft w:val="0"/>
      <w:marRight w:val="0"/>
      <w:marTop w:val="0"/>
      <w:marBottom w:val="0"/>
      <w:divBdr>
        <w:top w:val="none" w:sz="0" w:space="0" w:color="auto"/>
        <w:left w:val="none" w:sz="0" w:space="0" w:color="auto"/>
        <w:bottom w:val="none" w:sz="0" w:space="0" w:color="auto"/>
        <w:right w:val="none" w:sz="0" w:space="0" w:color="auto"/>
      </w:divBdr>
    </w:div>
    <w:div w:id="19940365">
      <w:bodyDiv w:val="1"/>
      <w:marLeft w:val="0"/>
      <w:marRight w:val="0"/>
      <w:marTop w:val="0"/>
      <w:marBottom w:val="0"/>
      <w:divBdr>
        <w:top w:val="none" w:sz="0" w:space="0" w:color="auto"/>
        <w:left w:val="none" w:sz="0" w:space="0" w:color="auto"/>
        <w:bottom w:val="none" w:sz="0" w:space="0" w:color="auto"/>
        <w:right w:val="none" w:sz="0" w:space="0" w:color="auto"/>
      </w:divBdr>
    </w:div>
    <w:div w:id="20135768">
      <w:bodyDiv w:val="1"/>
      <w:marLeft w:val="0"/>
      <w:marRight w:val="0"/>
      <w:marTop w:val="0"/>
      <w:marBottom w:val="0"/>
      <w:divBdr>
        <w:top w:val="none" w:sz="0" w:space="0" w:color="auto"/>
        <w:left w:val="none" w:sz="0" w:space="0" w:color="auto"/>
        <w:bottom w:val="none" w:sz="0" w:space="0" w:color="auto"/>
        <w:right w:val="none" w:sz="0" w:space="0" w:color="auto"/>
      </w:divBdr>
    </w:div>
    <w:div w:id="21782828">
      <w:bodyDiv w:val="1"/>
      <w:marLeft w:val="0"/>
      <w:marRight w:val="0"/>
      <w:marTop w:val="0"/>
      <w:marBottom w:val="0"/>
      <w:divBdr>
        <w:top w:val="none" w:sz="0" w:space="0" w:color="auto"/>
        <w:left w:val="none" w:sz="0" w:space="0" w:color="auto"/>
        <w:bottom w:val="none" w:sz="0" w:space="0" w:color="auto"/>
        <w:right w:val="none" w:sz="0" w:space="0" w:color="auto"/>
      </w:divBdr>
    </w:div>
    <w:div w:id="21785466">
      <w:bodyDiv w:val="1"/>
      <w:marLeft w:val="0"/>
      <w:marRight w:val="0"/>
      <w:marTop w:val="0"/>
      <w:marBottom w:val="0"/>
      <w:divBdr>
        <w:top w:val="none" w:sz="0" w:space="0" w:color="auto"/>
        <w:left w:val="none" w:sz="0" w:space="0" w:color="auto"/>
        <w:bottom w:val="none" w:sz="0" w:space="0" w:color="auto"/>
        <w:right w:val="none" w:sz="0" w:space="0" w:color="auto"/>
      </w:divBdr>
    </w:div>
    <w:div w:id="23483261">
      <w:bodyDiv w:val="1"/>
      <w:marLeft w:val="0"/>
      <w:marRight w:val="0"/>
      <w:marTop w:val="0"/>
      <w:marBottom w:val="0"/>
      <w:divBdr>
        <w:top w:val="none" w:sz="0" w:space="0" w:color="auto"/>
        <w:left w:val="none" w:sz="0" w:space="0" w:color="auto"/>
        <w:bottom w:val="none" w:sz="0" w:space="0" w:color="auto"/>
        <w:right w:val="none" w:sz="0" w:space="0" w:color="auto"/>
      </w:divBdr>
    </w:div>
    <w:div w:id="39941152">
      <w:bodyDiv w:val="1"/>
      <w:marLeft w:val="0"/>
      <w:marRight w:val="0"/>
      <w:marTop w:val="0"/>
      <w:marBottom w:val="0"/>
      <w:divBdr>
        <w:top w:val="none" w:sz="0" w:space="0" w:color="auto"/>
        <w:left w:val="none" w:sz="0" w:space="0" w:color="auto"/>
        <w:bottom w:val="none" w:sz="0" w:space="0" w:color="auto"/>
        <w:right w:val="none" w:sz="0" w:space="0" w:color="auto"/>
      </w:divBdr>
    </w:div>
    <w:div w:id="43720001">
      <w:bodyDiv w:val="1"/>
      <w:marLeft w:val="0"/>
      <w:marRight w:val="0"/>
      <w:marTop w:val="0"/>
      <w:marBottom w:val="0"/>
      <w:divBdr>
        <w:top w:val="none" w:sz="0" w:space="0" w:color="auto"/>
        <w:left w:val="none" w:sz="0" w:space="0" w:color="auto"/>
        <w:bottom w:val="none" w:sz="0" w:space="0" w:color="auto"/>
        <w:right w:val="none" w:sz="0" w:space="0" w:color="auto"/>
      </w:divBdr>
    </w:div>
    <w:div w:id="46731096">
      <w:bodyDiv w:val="1"/>
      <w:marLeft w:val="0"/>
      <w:marRight w:val="0"/>
      <w:marTop w:val="0"/>
      <w:marBottom w:val="0"/>
      <w:divBdr>
        <w:top w:val="none" w:sz="0" w:space="0" w:color="auto"/>
        <w:left w:val="none" w:sz="0" w:space="0" w:color="auto"/>
        <w:bottom w:val="none" w:sz="0" w:space="0" w:color="auto"/>
        <w:right w:val="none" w:sz="0" w:space="0" w:color="auto"/>
      </w:divBdr>
    </w:div>
    <w:div w:id="46879745">
      <w:bodyDiv w:val="1"/>
      <w:marLeft w:val="0"/>
      <w:marRight w:val="0"/>
      <w:marTop w:val="0"/>
      <w:marBottom w:val="0"/>
      <w:divBdr>
        <w:top w:val="none" w:sz="0" w:space="0" w:color="auto"/>
        <w:left w:val="none" w:sz="0" w:space="0" w:color="auto"/>
        <w:bottom w:val="none" w:sz="0" w:space="0" w:color="auto"/>
        <w:right w:val="none" w:sz="0" w:space="0" w:color="auto"/>
      </w:divBdr>
    </w:div>
    <w:div w:id="46999299">
      <w:bodyDiv w:val="1"/>
      <w:marLeft w:val="0"/>
      <w:marRight w:val="0"/>
      <w:marTop w:val="0"/>
      <w:marBottom w:val="0"/>
      <w:divBdr>
        <w:top w:val="none" w:sz="0" w:space="0" w:color="auto"/>
        <w:left w:val="none" w:sz="0" w:space="0" w:color="auto"/>
        <w:bottom w:val="none" w:sz="0" w:space="0" w:color="auto"/>
        <w:right w:val="none" w:sz="0" w:space="0" w:color="auto"/>
      </w:divBdr>
    </w:div>
    <w:div w:id="49548268">
      <w:bodyDiv w:val="1"/>
      <w:marLeft w:val="0"/>
      <w:marRight w:val="0"/>
      <w:marTop w:val="0"/>
      <w:marBottom w:val="0"/>
      <w:divBdr>
        <w:top w:val="none" w:sz="0" w:space="0" w:color="auto"/>
        <w:left w:val="none" w:sz="0" w:space="0" w:color="auto"/>
        <w:bottom w:val="none" w:sz="0" w:space="0" w:color="auto"/>
        <w:right w:val="none" w:sz="0" w:space="0" w:color="auto"/>
      </w:divBdr>
    </w:div>
    <w:div w:id="64110845">
      <w:bodyDiv w:val="1"/>
      <w:marLeft w:val="0"/>
      <w:marRight w:val="0"/>
      <w:marTop w:val="0"/>
      <w:marBottom w:val="0"/>
      <w:divBdr>
        <w:top w:val="none" w:sz="0" w:space="0" w:color="auto"/>
        <w:left w:val="none" w:sz="0" w:space="0" w:color="auto"/>
        <w:bottom w:val="none" w:sz="0" w:space="0" w:color="auto"/>
        <w:right w:val="none" w:sz="0" w:space="0" w:color="auto"/>
      </w:divBdr>
    </w:div>
    <w:div w:id="67189033">
      <w:bodyDiv w:val="1"/>
      <w:marLeft w:val="0"/>
      <w:marRight w:val="0"/>
      <w:marTop w:val="0"/>
      <w:marBottom w:val="0"/>
      <w:divBdr>
        <w:top w:val="none" w:sz="0" w:space="0" w:color="auto"/>
        <w:left w:val="none" w:sz="0" w:space="0" w:color="auto"/>
        <w:bottom w:val="none" w:sz="0" w:space="0" w:color="auto"/>
        <w:right w:val="none" w:sz="0" w:space="0" w:color="auto"/>
      </w:divBdr>
    </w:div>
    <w:div w:id="67777259">
      <w:bodyDiv w:val="1"/>
      <w:marLeft w:val="0"/>
      <w:marRight w:val="0"/>
      <w:marTop w:val="0"/>
      <w:marBottom w:val="0"/>
      <w:divBdr>
        <w:top w:val="none" w:sz="0" w:space="0" w:color="auto"/>
        <w:left w:val="none" w:sz="0" w:space="0" w:color="auto"/>
        <w:bottom w:val="none" w:sz="0" w:space="0" w:color="auto"/>
        <w:right w:val="none" w:sz="0" w:space="0" w:color="auto"/>
      </w:divBdr>
    </w:div>
    <w:div w:id="72434929">
      <w:bodyDiv w:val="1"/>
      <w:marLeft w:val="0"/>
      <w:marRight w:val="0"/>
      <w:marTop w:val="0"/>
      <w:marBottom w:val="0"/>
      <w:divBdr>
        <w:top w:val="none" w:sz="0" w:space="0" w:color="auto"/>
        <w:left w:val="none" w:sz="0" w:space="0" w:color="auto"/>
        <w:bottom w:val="none" w:sz="0" w:space="0" w:color="auto"/>
        <w:right w:val="none" w:sz="0" w:space="0" w:color="auto"/>
      </w:divBdr>
    </w:div>
    <w:div w:id="73553613">
      <w:bodyDiv w:val="1"/>
      <w:marLeft w:val="0"/>
      <w:marRight w:val="0"/>
      <w:marTop w:val="0"/>
      <w:marBottom w:val="0"/>
      <w:divBdr>
        <w:top w:val="none" w:sz="0" w:space="0" w:color="auto"/>
        <w:left w:val="none" w:sz="0" w:space="0" w:color="auto"/>
        <w:bottom w:val="none" w:sz="0" w:space="0" w:color="auto"/>
        <w:right w:val="none" w:sz="0" w:space="0" w:color="auto"/>
      </w:divBdr>
    </w:div>
    <w:div w:id="76756946">
      <w:bodyDiv w:val="1"/>
      <w:marLeft w:val="0"/>
      <w:marRight w:val="0"/>
      <w:marTop w:val="0"/>
      <w:marBottom w:val="0"/>
      <w:divBdr>
        <w:top w:val="none" w:sz="0" w:space="0" w:color="auto"/>
        <w:left w:val="none" w:sz="0" w:space="0" w:color="auto"/>
        <w:bottom w:val="none" w:sz="0" w:space="0" w:color="auto"/>
        <w:right w:val="none" w:sz="0" w:space="0" w:color="auto"/>
      </w:divBdr>
    </w:div>
    <w:div w:id="77749233">
      <w:bodyDiv w:val="1"/>
      <w:marLeft w:val="0"/>
      <w:marRight w:val="0"/>
      <w:marTop w:val="0"/>
      <w:marBottom w:val="0"/>
      <w:divBdr>
        <w:top w:val="none" w:sz="0" w:space="0" w:color="auto"/>
        <w:left w:val="none" w:sz="0" w:space="0" w:color="auto"/>
        <w:bottom w:val="none" w:sz="0" w:space="0" w:color="auto"/>
        <w:right w:val="none" w:sz="0" w:space="0" w:color="auto"/>
      </w:divBdr>
    </w:div>
    <w:div w:id="80875472">
      <w:bodyDiv w:val="1"/>
      <w:marLeft w:val="0"/>
      <w:marRight w:val="0"/>
      <w:marTop w:val="0"/>
      <w:marBottom w:val="0"/>
      <w:divBdr>
        <w:top w:val="none" w:sz="0" w:space="0" w:color="auto"/>
        <w:left w:val="none" w:sz="0" w:space="0" w:color="auto"/>
        <w:bottom w:val="none" w:sz="0" w:space="0" w:color="auto"/>
        <w:right w:val="none" w:sz="0" w:space="0" w:color="auto"/>
      </w:divBdr>
    </w:div>
    <w:div w:id="81995728">
      <w:bodyDiv w:val="1"/>
      <w:marLeft w:val="0"/>
      <w:marRight w:val="0"/>
      <w:marTop w:val="0"/>
      <w:marBottom w:val="0"/>
      <w:divBdr>
        <w:top w:val="none" w:sz="0" w:space="0" w:color="auto"/>
        <w:left w:val="none" w:sz="0" w:space="0" w:color="auto"/>
        <w:bottom w:val="none" w:sz="0" w:space="0" w:color="auto"/>
        <w:right w:val="none" w:sz="0" w:space="0" w:color="auto"/>
      </w:divBdr>
    </w:div>
    <w:div w:id="87506422">
      <w:bodyDiv w:val="1"/>
      <w:marLeft w:val="0"/>
      <w:marRight w:val="0"/>
      <w:marTop w:val="0"/>
      <w:marBottom w:val="0"/>
      <w:divBdr>
        <w:top w:val="none" w:sz="0" w:space="0" w:color="auto"/>
        <w:left w:val="none" w:sz="0" w:space="0" w:color="auto"/>
        <w:bottom w:val="none" w:sz="0" w:space="0" w:color="auto"/>
        <w:right w:val="none" w:sz="0" w:space="0" w:color="auto"/>
      </w:divBdr>
    </w:div>
    <w:div w:id="92825723">
      <w:bodyDiv w:val="1"/>
      <w:marLeft w:val="0"/>
      <w:marRight w:val="0"/>
      <w:marTop w:val="0"/>
      <w:marBottom w:val="0"/>
      <w:divBdr>
        <w:top w:val="none" w:sz="0" w:space="0" w:color="auto"/>
        <w:left w:val="none" w:sz="0" w:space="0" w:color="auto"/>
        <w:bottom w:val="none" w:sz="0" w:space="0" w:color="auto"/>
        <w:right w:val="none" w:sz="0" w:space="0" w:color="auto"/>
      </w:divBdr>
    </w:div>
    <w:div w:id="94181507">
      <w:bodyDiv w:val="1"/>
      <w:marLeft w:val="0"/>
      <w:marRight w:val="0"/>
      <w:marTop w:val="0"/>
      <w:marBottom w:val="0"/>
      <w:divBdr>
        <w:top w:val="none" w:sz="0" w:space="0" w:color="auto"/>
        <w:left w:val="none" w:sz="0" w:space="0" w:color="auto"/>
        <w:bottom w:val="none" w:sz="0" w:space="0" w:color="auto"/>
        <w:right w:val="none" w:sz="0" w:space="0" w:color="auto"/>
      </w:divBdr>
    </w:div>
    <w:div w:id="95175555">
      <w:bodyDiv w:val="1"/>
      <w:marLeft w:val="0"/>
      <w:marRight w:val="0"/>
      <w:marTop w:val="0"/>
      <w:marBottom w:val="0"/>
      <w:divBdr>
        <w:top w:val="none" w:sz="0" w:space="0" w:color="auto"/>
        <w:left w:val="none" w:sz="0" w:space="0" w:color="auto"/>
        <w:bottom w:val="none" w:sz="0" w:space="0" w:color="auto"/>
        <w:right w:val="none" w:sz="0" w:space="0" w:color="auto"/>
      </w:divBdr>
    </w:div>
    <w:div w:id="95635051">
      <w:bodyDiv w:val="1"/>
      <w:marLeft w:val="0"/>
      <w:marRight w:val="0"/>
      <w:marTop w:val="0"/>
      <w:marBottom w:val="0"/>
      <w:divBdr>
        <w:top w:val="none" w:sz="0" w:space="0" w:color="auto"/>
        <w:left w:val="none" w:sz="0" w:space="0" w:color="auto"/>
        <w:bottom w:val="none" w:sz="0" w:space="0" w:color="auto"/>
        <w:right w:val="none" w:sz="0" w:space="0" w:color="auto"/>
      </w:divBdr>
    </w:div>
    <w:div w:id="109516386">
      <w:bodyDiv w:val="1"/>
      <w:marLeft w:val="0"/>
      <w:marRight w:val="0"/>
      <w:marTop w:val="0"/>
      <w:marBottom w:val="0"/>
      <w:divBdr>
        <w:top w:val="none" w:sz="0" w:space="0" w:color="auto"/>
        <w:left w:val="none" w:sz="0" w:space="0" w:color="auto"/>
        <w:bottom w:val="none" w:sz="0" w:space="0" w:color="auto"/>
        <w:right w:val="none" w:sz="0" w:space="0" w:color="auto"/>
      </w:divBdr>
    </w:div>
    <w:div w:id="109983582">
      <w:bodyDiv w:val="1"/>
      <w:marLeft w:val="0"/>
      <w:marRight w:val="0"/>
      <w:marTop w:val="0"/>
      <w:marBottom w:val="0"/>
      <w:divBdr>
        <w:top w:val="none" w:sz="0" w:space="0" w:color="auto"/>
        <w:left w:val="none" w:sz="0" w:space="0" w:color="auto"/>
        <w:bottom w:val="none" w:sz="0" w:space="0" w:color="auto"/>
        <w:right w:val="none" w:sz="0" w:space="0" w:color="auto"/>
      </w:divBdr>
    </w:div>
    <w:div w:id="121927124">
      <w:bodyDiv w:val="1"/>
      <w:marLeft w:val="0"/>
      <w:marRight w:val="0"/>
      <w:marTop w:val="0"/>
      <w:marBottom w:val="0"/>
      <w:divBdr>
        <w:top w:val="none" w:sz="0" w:space="0" w:color="auto"/>
        <w:left w:val="none" w:sz="0" w:space="0" w:color="auto"/>
        <w:bottom w:val="none" w:sz="0" w:space="0" w:color="auto"/>
        <w:right w:val="none" w:sz="0" w:space="0" w:color="auto"/>
      </w:divBdr>
    </w:div>
    <w:div w:id="122038065">
      <w:bodyDiv w:val="1"/>
      <w:marLeft w:val="0"/>
      <w:marRight w:val="0"/>
      <w:marTop w:val="0"/>
      <w:marBottom w:val="0"/>
      <w:divBdr>
        <w:top w:val="none" w:sz="0" w:space="0" w:color="auto"/>
        <w:left w:val="none" w:sz="0" w:space="0" w:color="auto"/>
        <w:bottom w:val="none" w:sz="0" w:space="0" w:color="auto"/>
        <w:right w:val="none" w:sz="0" w:space="0" w:color="auto"/>
      </w:divBdr>
    </w:div>
    <w:div w:id="127869139">
      <w:bodyDiv w:val="1"/>
      <w:marLeft w:val="0"/>
      <w:marRight w:val="0"/>
      <w:marTop w:val="0"/>
      <w:marBottom w:val="0"/>
      <w:divBdr>
        <w:top w:val="none" w:sz="0" w:space="0" w:color="auto"/>
        <w:left w:val="none" w:sz="0" w:space="0" w:color="auto"/>
        <w:bottom w:val="none" w:sz="0" w:space="0" w:color="auto"/>
        <w:right w:val="none" w:sz="0" w:space="0" w:color="auto"/>
      </w:divBdr>
    </w:div>
    <w:div w:id="129054188">
      <w:bodyDiv w:val="1"/>
      <w:marLeft w:val="0"/>
      <w:marRight w:val="0"/>
      <w:marTop w:val="0"/>
      <w:marBottom w:val="0"/>
      <w:divBdr>
        <w:top w:val="none" w:sz="0" w:space="0" w:color="auto"/>
        <w:left w:val="none" w:sz="0" w:space="0" w:color="auto"/>
        <w:bottom w:val="none" w:sz="0" w:space="0" w:color="auto"/>
        <w:right w:val="none" w:sz="0" w:space="0" w:color="auto"/>
      </w:divBdr>
    </w:div>
    <w:div w:id="134686171">
      <w:bodyDiv w:val="1"/>
      <w:marLeft w:val="0"/>
      <w:marRight w:val="0"/>
      <w:marTop w:val="0"/>
      <w:marBottom w:val="0"/>
      <w:divBdr>
        <w:top w:val="none" w:sz="0" w:space="0" w:color="auto"/>
        <w:left w:val="none" w:sz="0" w:space="0" w:color="auto"/>
        <w:bottom w:val="none" w:sz="0" w:space="0" w:color="auto"/>
        <w:right w:val="none" w:sz="0" w:space="0" w:color="auto"/>
      </w:divBdr>
    </w:div>
    <w:div w:id="144981362">
      <w:bodyDiv w:val="1"/>
      <w:marLeft w:val="0"/>
      <w:marRight w:val="0"/>
      <w:marTop w:val="0"/>
      <w:marBottom w:val="0"/>
      <w:divBdr>
        <w:top w:val="none" w:sz="0" w:space="0" w:color="auto"/>
        <w:left w:val="none" w:sz="0" w:space="0" w:color="auto"/>
        <w:bottom w:val="none" w:sz="0" w:space="0" w:color="auto"/>
        <w:right w:val="none" w:sz="0" w:space="0" w:color="auto"/>
      </w:divBdr>
    </w:div>
    <w:div w:id="147940358">
      <w:bodyDiv w:val="1"/>
      <w:marLeft w:val="0"/>
      <w:marRight w:val="0"/>
      <w:marTop w:val="0"/>
      <w:marBottom w:val="0"/>
      <w:divBdr>
        <w:top w:val="none" w:sz="0" w:space="0" w:color="auto"/>
        <w:left w:val="none" w:sz="0" w:space="0" w:color="auto"/>
        <w:bottom w:val="none" w:sz="0" w:space="0" w:color="auto"/>
        <w:right w:val="none" w:sz="0" w:space="0" w:color="auto"/>
      </w:divBdr>
    </w:div>
    <w:div w:id="153229243">
      <w:bodyDiv w:val="1"/>
      <w:marLeft w:val="0"/>
      <w:marRight w:val="0"/>
      <w:marTop w:val="0"/>
      <w:marBottom w:val="0"/>
      <w:divBdr>
        <w:top w:val="none" w:sz="0" w:space="0" w:color="auto"/>
        <w:left w:val="none" w:sz="0" w:space="0" w:color="auto"/>
        <w:bottom w:val="none" w:sz="0" w:space="0" w:color="auto"/>
        <w:right w:val="none" w:sz="0" w:space="0" w:color="auto"/>
      </w:divBdr>
    </w:div>
    <w:div w:id="154297065">
      <w:bodyDiv w:val="1"/>
      <w:marLeft w:val="0"/>
      <w:marRight w:val="0"/>
      <w:marTop w:val="0"/>
      <w:marBottom w:val="0"/>
      <w:divBdr>
        <w:top w:val="none" w:sz="0" w:space="0" w:color="auto"/>
        <w:left w:val="none" w:sz="0" w:space="0" w:color="auto"/>
        <w:bottom w:val="none" w:sz="0" w:space="0" w:color="auto"/>
        <w:right w:val="none" w:sz="0" w:space="0" w:color="auto"/>
      </w:divBdr>
    </w:div>
    <w:div w:id="156574287">
      <w:bodyDiv w:val="1"/>
      <w:marLeft w:val="0"/>
      <w:marRight w:val="0"/>
      <w:marTop w:val="0"/>
      <w:marBottom w:val="0"/>
      <w:divBdr>
        <w:top w:val="none" w:sz="0" w:space="0" w:color="auto"/>
        <w:left w:val="none" w:sz="0" w:space="0" w:color="auto"/>
        <w:bottom w:val="none" w:sz="0" w:space="0" w:color="auto"/>
        <w:right w:val="none" w:sz="0" w:space="0" w:color="auto"/>
      </w:divBdr>
    </w:div>
    <w:div w:id="161315020">
      <w:bodyDiv w:val="1"/>
      <w:marLeft w:val="0"/>
      <w:marRight w:val="0"/>
      <w:marTop w:val="0"/>
      <w:marBottom w:val="0"/>
      <w:divBdr>
        <w:top w:val="none" w:sz="0" w:space="0" w:color="auto"/>
        <w:left w:val="none" w:sz="0" w:space="0" w:color="auto"/>
        <w:bottom w:val="none" w:sz="0" w:space="0" w:color="auto"/>
        <w:right w:val="none" w:sz="0" w:space="0" w:color="auto"/>
      </w:divBdr>
    </w:div>
    <w:div w:id="164634176">
      <w:bodyDiv w:val="1"/>
      <w:marLeft w:val="0"/>
      <w:marRight w:val="0"/>
      <w:marTop w:val="0"/>
      <w:marBottom w:val="0"/>
      <w:divBdr>
        <w:top w:val="none" w:sz="0" w:space="0" w:color="auto"/>
        <w:left w:val="none" w:sz="0" w:space="0" w:color="auto"/>
        <w:bottom w:val="none" w:sz="0" w:space="0" w:color="auto"/>
        <w:right w:val="none" w:sz="0" w:space="0" w:color="auto"/>
      </w:divBdr>
    </w:div>
    <w:div w:id="167405186">
      <w:bodyDiv w:val="1"/>
      <w:marLeft w:val="0"/>
      <w:marRight w:val="0"/>
      <w:marTop w:val="0"/>
      <w:marBottom w:val="0"/>
      <w:divBdr>
        <w:top w:val="none" w:sz="0" w:space="0" w:color="auto"/>
        <w:left w:val="none" w:sz="0" w:space="0" w:color="auto"/>
        <w:bottom w:val="none" w:sz="0" w:space="0" w:color="auto"/>
        <w:right w:val="none" w:sz="0" w:space="0" w:color="auto"/>
      </w:divBdr>
    </w:div>
    <w:div w:id="170146967">
      <w:bodyDiv w:val="1"/>
      <w:marLeft w:val="0"/>
      <w:marRight w:val="0"/>
      <w:marTop w:val="0"/>
      <w:marBottom w:val="0"/>
      <w:divBdr>
        <w:top w:val="none" w:sz="0" w:space="0" w:color="auto"/>
        <w:left w:val="none" w:sz="0" w:space="0" w:color="auto"/>
        <w:bottom w:val="none" w:sz="0" w:space="0" w:color="auto"/>
        <w:right w:val="none" w:sz="0" w:space="0" w:color="auto"/>
      </w:divBdr>
    </w:div>
    <w:div w:id="171074271">
      <w:bodyDiv w:val="1"/>
      <w:marLeft w:val="0"/>
      <w:marRight w:val="0"/>
      <w:marTop w:val="0"/>
      <w:marBottom w:val="0"/>
      <w:divBdr>
        <w:top w:val="none" w:sz="0" w:space="0" w:color="auto"/>
        <w:left w:val="none" w:sz="0" w:space="0" w:color="auto"/>
        <w:bottom w:val="none" w:sz="0" w:space="0" w:color="auto"/>
        <w:right w:val="none" w:sz="0" w:space="0" w:color="auto"/>
      </w:divBdr>
    </w:div>
    <w:div w:id="177432946">
      <w:bodyDiv w:val="1"/>
      <w:marLeft w:val="0"/>
      <w:marRight w:val="0"/>
      <w:marTop w:val="0"/>
      <w:marBottom w:val="0"/>
      <w:divBdr>
        <w:top w:val="none" w:sz="0" w:space="0" w:color="auto"/>
        <w:left w:val="none" w:sz="0" w:space="0" w:color="auto"/>
        <w:bottom w:val="none" w:sz="0" w:space="0" w:color="auto"/>
        <w:right w:val="none" w:sz="0" w:space="0" w:color="auto"/>
      </w:divBdr>
    </w:div>
    <w:div w:id="178350280">
      <w:bodyDiv w:val="1"/>
      <w:marLeft w:val="0"/>
      <w:marRight w:val="0"/>
      <w:marTop w:val="0"/>
      <w:marBottom w:val="0"/>
      <w:divBdr>
        <w:top w:val="none" w:sz="0" w:space="0" w:color="auto"/>
        <w:left w:val="none" w:sz="0" w:space="0" w:color="auto"/>
        <w:bottom w:val="none" w:sz="0" w:space="0" w:color="auto"/>
        <w:right w:val="none" w:sz="0" w:space="0" w:color="auto"/>
      </w:divBdr>
    </w:div>
    <w:div w:id="180315636">
      <w:bodyDiv w:val="1"/>
      <w:marLeft w:val="0"/>
      <w:marRight w:val="0"/>
      <w:marTop w:val="0"/>
      <w:marBottom w:val="0"/>
      <w:divBdr>
        <w:top w:val="none" w:sz="0" w:space="0" w:color="auto"/>
        <w:left w:val="none" w:sz="0" w:space="0" w:color="auto"/>
        <w:bottom w:val="none" w:sz="0" w:space="0" w:color="auto"/>
        <w:right w:val="none" w:sz="0" w:space="0" w:color="auto"/>
      </w:divBdr>
    </w:div>
    <w:div w:id="186062225">
      <w:bodyDiv w:val="1"/>
      <w:marLeft w:val="0"/>
      <w:marRight w:val="0"/>
      <w:marTop w:val="0"/>
      <w:marBottom w:val="0"/>
      <w:divBdr>
        <w:top w:val="none" w:sz="0" w:space="0" w:color="auto"/>
        <w:left w:val="none" w:sz="0" w:space="0" w:color="auto"/>
        <w:bottom w:val="none" w:sz="0" w:space="0" w:color="auto"/>
        <w:right w:val="none" w:sz="0" w:space="0" w:color="auto"/>
      </w:divBdr>
    </w:div>
    <w:div w:id="193463609">
      <w:bodyDiv w:val="1"/>
      <w:marLeft w:val="0"/>
      <w:marRight w:val="0"/>
      <w:marTop w:val="0"/>
      <w:marBottom w:val="0"/>
      <w:divBdr>
        <w:top w:val="none" w:sz="0" w:space="0" w:color="auto"/>
        <w:left w:val="none" w:sz="0" w:space="0" w:color="auto"/>
        <w:bottom w:val="none" w:sz="0" w:space="0" w:color="auto"/>
        <w:right w:val="none" w:sz="0" w:space="0" w:color="auto"/>
      </w:divBdr>
    </w:div>
    <w:div w:id="196504060">
      <w:bodyDiv w:val="1"/>
      <w:marLeft w:val="0"/>
      <w:marRight w:val="0"/>
      <w:marTop w:val="0"/>
      <w:marBottom w:val="0"/>
      <w:divBdr>
        <w:top w:val="none" w:sz="0" w:space="0" w:color="auto"/>
        <w:left w:val="none" w:sz="0" w:space="0" w:color="auto"/>
        <w:bottom w:val="none" w:sz="0" w:space="0" w:color="auto"/>
        <w:right w:val="none" w:sz="0" w:space="0" w:color="auto"/>
      </w:divBdr>
    </w:div>
    <w:div w:id="197162826">
      <w:bodyDiv w:val="1"/>
      <w:marLeft w:val="0"/>
      <w:marRight w:val="0"/>
      <w:marTop w:val="0"/>
      <w:marBottom w:val="0"/>
      <w:divBdr>
        <w:top w:val="none" w:sz="0" w:space="0" w:color="auto"/>
        <w:left w:val="none" w:sz="0" w:space="0" w:color="auto"/>
        <w:bottom w:val="none" w:sz="0" w:space="0" w:color="auto"/>
        <w:right w:val="none" w:sz="0" w:space="0" w:color="auto"/>
      </w:divBdr>
    </w:div>
    <w:div w:id="208152091">
      <w:bodyDiv w:val="1"/>
      <w:marLeft w:val="0"/>
      <w:marRight w:val="0"/>
      <w:marTop w:val="0"/>
      <w:marBottom w:val="0"/>
      <w:divBdr>
        <w:top w:val="none" w:sz="0" w:space="0" w:color="auto"/>
        <w:left w:val="none" w:sz="0" w:space="0" w:color="auto"/>
        <w:bottom w:val="none" w:sz="0" w:space="0" w:color="auto"/>
        <w:right w:val="none" w:sz="0" w:space="0" w:color="auto"/>
      </w:divBdr>
    </w:div>
    <w:div w:id="208802930">
      <w:bodyDiv w:val="1"/>
      <w:marLeft w:val="0"/>
      <w:marRight w:val="0"/>
      <w:marTop w:val="0"/>
      <w:marBottom w:val="0"/>
      <w:divBdr>
        <w:top w:val="none" w:sz="0" w:space="0" w:color="auto"/>
        <w:left w:val="none" w:sz="0" w:space="0" w:color="auto"/>
        <w:bottom w:val="none" w:sz="0" w:space="0" w:color="auto"/>
        <w:right w:val="none" w:sz="0" w:space="0" w:color="auto"/>
      </w:divBdr>
    </w:div>
    <w:div w:id="210072219">
      <w:bodyDiv w:val="1"/>
      <w:marLeft w:val="0"/>
      <w:marRight w:val="0"/>
      <w:marTop w:val="0"/>
      <w:marBottom w:val="0"/>
      <w:divBdr>
        <w:top w:val="none" w:sz="0" w:space="0" w:color="auto"/>
        <w:left w:val="none" w:sz="0" w:space="0" w:color="auto"/>
        <w:bottom w:val="none" w:sz="0" w:space="0" w:color="auto"/>
        <w:right w:val="none" w:sz="0" w:space="0" w:color="auto"/>
      </w:divBdr>
    </w:div>
    <w:div w:id="211381303">
      <w:bodyDiv w:val="1"/>
      <w:marLeft w:val="0"/>
      <w:marRight w:val="0"/>
      <w:marTop w:val="0"/>
      <w:marBottom w:val="0"/>
      <w:divBdr>
        <w:top w:val="none" w:sz="0" w:space="0" w:color="auto"/>
        <w:left w:val="none" w:sz="0" w:space="0" w:color="auto"/>
        <w:bottom w:val="none" w:sz="0" w:space="0" w:color="auto"/>
        <w:right w:val="none" w:sz="0" w:space="0" w:color="auto"/>
      </w:divBdr>
    </w:div>
    <w:div w:id="213740043">
      <w:bodyDiv w:val="1"/>
      <w:marLeft w:val="0"/>
      <w:marRight w:val="0"/>
      <w:marTop w:val="0"/>
      <w:marBottom w:val="0"/>
      <w:divBdr>
        <w:top w:val="none" w:sz="0" w:space="0" w:color="auto"/>
        <w:left w:val="none" w:sz="0" w:space="0" w:color="auto"/>
        <w:bottom w:val="none" w:sz="0" w:space="0" w:color="auto"/>
        <w:right w:val="none" w:sz="0" w:space="0" w:color="auto"/>
      </w:divBdr>
    </w:div>
    <w:div w:id="217280355">
      <w:bodyDiv w:val="1"/>
      <w:marLeft w:val="0"/>
      <w:marRight w:val="0"/>
      <w:marTop w:val="0"/>
      <w:marBottom w:val="0"/>
      <w:divBdr>
        <w:top w:val="none" w:sz="0" w:space="0" w:color="auto"/>
        <w:left w:val="none" w:sz="0" w:space="0" w:color="auto"/>
        <w:bottom w:val="none" w:sz="0" w:space="0" w:color="auto"/>
        <w:right w:val="none" w:sz="0" w:space="0" w:color="auto"/>
      </w:divBdr>
    </w:div>
    <w:div w:id="217860774">
      <w:bodyDiv w:val="1"/>
      <w:marLeft w:val="0"/>
      <w:marRight w:val="0"/>
      <w:marTop w:val="0"/>
      <w:marBottom w:val="0"/>
      <w:divBdr>
        <w:top w:val="none" w:sz="0" w:space="0" w:color="auto"/>
        <w:left w:val="none" w:sz="0" w:space="0" w:color="auto"/>
        <w:bottom w:val="none" w:sz="0" w:space="0" w:color="auto"/>
        <w:right w:val="none" w:sz="0" w:space="0" w:color="auto"/>
      </w:divBdr>
    </w:div>
    <w:div w:id="227694885">
      <w:bodyDiv w:val="1"/>
      <w:marLeft w:val="0"/>
      <w:marRight w:val="0"/>
      <w:marTop w:val="0"/>
      <w:marBottom w:val="0"/>
      <w:divBdr>
        <w:top w:val="none" w:sz="0" w:space="0" w:color="auto"/>
        <w:left w:val="none" w:sz="0" w:space="0" w:color="auto"/>
        <w:bottom w:val="none" w:sz="0" w:space="0" w:color="auto"/>
        <w:right w:val="none" w:sz="0" w:space="0" w:color="auto"/>
      </w:divBdr>
    </w:div>
    <w:div w:id="230383677">
      <w:bodyDiv w:val="1"/>
      <w:marLeft w:val="0"/>
      <w:marRight w:val="0"/>
      <w:marTop w:val="0"/>
      <w:marBottom w:val="0"/>
      <w:divBdr>
        <w:top w:val="none" w:sz="0" w:space="0" w:color="auto"/>
        <w:left w:val="none" w:sz="0" w:space="0" w:color="auto"/>
        <w:bottom w:val="none" w:sz="0" w:space="0" w:color="auto"/>
        <w:right w:val="none" w:sz="0" w:space="0" w:color="auto"/>
      </w:divBdr>
    </w:div>
    <w:div w:id="230434146">
      <w:bodyDiv w:val="1"/>
      <w:marLeft w:val="0"/>
      <w:marRight w:val="0"/>
      <w:marTop w:val="0"/>
      <w:marBottom w:val="0"/>
      <w:divBdr>
        <w:top w:val="none" w:sz="0" w:space="0" w:color="auto"/>
        <w:left w:val="none" w:sz="0" w:space="0" w:color="auto"/>
        <w:bottom w:val="none" w:sz="0" w:space="0" w:color="auto"/>
        <w:right w:val="none" w:sz="0" w:space="0" w:color="auto"/>
      </w:divBdr>
    </w:div>
    <w:div w:id="233899719">
      <w:bodyDiv w:val="1"/>
      <w:marLeft w:val="0"/>
      <w:marRight w:val="0"/>
      <w:marTop w:val="0"/>
      <w:marBottom w:val="0"/>
      <w:divBdr>
        <w:top w:val="none" w:sz="0" w:space="0" w:color="auto"/>
        <w:left w:val="none" w:sz="0" w:space="0" w:color="auto"/>
        <w:bottom w:val="none" w:sz="0" w:space="0" w:color="auto"/>
        <w:right w:val="none" w:sz="0" w:space="0" w:color="auto"/>
      </w:divBdr>
    </w:div>
    <w:div w:id="234048306">
      <w:bodyDiv w:val="1"/>
      <w:marLeft w:val="0"/>
      <w:marRight w:val="0"/>
      <w:marTop w:val="0"/>
      <w:marBottom w:val="0"/>
      <w:divBdr>
        <w:top w:val="none" w:sz="0" w:space="0" w:color="auto"/>
        <w:left w:val="none" w:sz="0" w:space="0" w:color="auto"/>
        <w:bottom w:val="none" w:sz="0" w:space="0" w:color="auto"/>
        <w:right w:val="none" w:sz="0" w:space="0" w:color="auto"/>
      </w:divBdr>
    </w:div>
    <w:div w:id="240339263">
      <w:bodyDiv w:val="1"/>
      <w:marLeft w:val="0"/>
      <w:marRight w:val="0"/>
      <w:marTop w:val="0"/>
      <w:marBottom w:val="0"/>
      <w:divBdr>
        <w:top w:val="none" w:sz="0" w:space="0" w:color="auto"/>
        <w:left w:val="none" w:sz="0" w:space="0" w:color="auto"/>
        <w:bottom w:val="none" w:sz="0" w:space="0" w:color="auto"/>
        <w:right w:val="none" w:sz="0" w:space="0" w:color="auto"/>
      </w:divBdr>
    </w:div>
    <w:div w:id="249703769">
      <w:bodyDiv w:val="1"/>
      <w:marLeft w:val="0"/>
      <w:marRight w:val="0"/>
      <w:marTop w:val="0"/>
      <w:marBottom w:val="0"/>
      <w:divBdr>
        <w:top w:val="none" w:sz="0" w:space="0" w:color="auto"/>
        <w:left w:val="none" w:sz="0" w:space="0" w:color="auto"/>
        <w:bottom w:val="none" w:sz="0" w:space="0" w:color="auto"/>
        <w:right w:val="none" w:sz="0" w:space="0" w:color="auto"/>
      </w:divBdr>
    </w:div>
    <w:div w:id="251090939">
      <w:bodyDiv w:val="1"/>
      <w:marLeft w:val="0"/>
      <w:marRight w:val="0"/>
      <w:marTop w:val="0"/>
      <w:marBottom w:val="0"/>
      <w:divBdr>
        <w:top w:val="none" w:sz="0" w:space="0" w:color="auto"/>
        <w:left w:val="none" w:sz="0" w:space="0" w:color="auto"/>
        <w:bottom w:val="none" w:sz="0" w:space="0" w:color="auto"/>
        <w:right w:val="none" w:sz="0" w:space="0" w:color="auto"/>
      </w:divBdr>
    </w:div>
    <w:div w:id="267398484">
      <w:bodyDiv w:val="1"/>
      <w:marLeft w:val="0"/>
      <w:marRight w:val="0"/>
      <w:marTop w:val="0"/>
      <w:marBottom w:val="0"/>
      <w:divBdr>
        <w:top w:val="none" w:sz="0" w:space="0" w:color="auto"/>
        <w:left w:val="none" w:sz="0" w:space="0" w:color="auto"/>
        <w:bottom w:val="none" w:sz="0" w:space="0" w:color="auto"/>
        <w:right w:val="none" w:sz="0" w:space="0" w:color="auto"/>
      </w:divBdr>
    </w:div>
    <w:div w:id="278223115">
      <w:bodyDiv w:val="1"/>
      <w:marLeft w:val="0"/>
      <w:marRight w:val="0"/>
      <w:marTop w:val="0"/>
      <w:marBottom w:val="0"/>
      <w:divBdr>
        <w:top w:val="none" w:sz="0" w:space="0" w:color="auto"/>
        <w:left w:val="none" w:sz="0" w:space="0" w:color="auto"/>
        <w:bottom w:val="none" w:sz="0" w:space="0" w:color="auto"/>
        <w:right w:val="none" w:sz="0" w:space="0" w:color="auto"/>
      </w:divBdr>
    </w:div>
    <w:div w:id="283578878">
      <w:bodyDiv w:val="1"/>
      <w:marLeft w:val="0"/>
      <w:marRight w:val="0"/>
      <w:marTop w:val="0"/>
      <w:marBottom w:val="0"/>
      <w:divBdr>
        <w:top w:val="none" w:sz="0" w:space="0" w:color="auto"/>
        <w:left w:val="none" w:sz="0" w:space="0" w:color="auto"/>
        <w:bottom w:val="none" w:sz="0" w:space="0" w:color="auto"/>
        <w:right w:val="none" w:sz="0" w:space="0" w:color="auto"/>
      </w:divBdr>
    </w:div>
    <w:div w:id="285310622">
      <w:bodyDiv w:val="1"/>
      <w:marLeft w:val="0"/>
      <w:marRight w:val="0"/>
      <w:marTop w:val="0"/>
      <w:marBottom w:val="0"/>
      <w:divBdr>
        <w:top w:val="none" w:sz="0" w:space="0" w:color="auto"/>
        <w:left w:val="none" w:sz="0" w:space="0" w:color="auto"/>
        <w:bottom w:val="none" w:sz="0" w:space="0" w:color="auto"/>
        <w:right w:val="none" w:sz="0" w:space="0" w:color="auto"/>
      </w:divBdr>
    </w:div>
    <w:div w:id="286814326">
      <w:bodyDiv w:val="1"/>
      <w:marLeft w:val="0"/>
      <w:marRight w:val="0"/>
      <w:marTop w:val="0"/>
      <w:marBottom w:val="0"/>
      <w:divBdr>
        <w:top w:val="none" w:sz="0" w:space="0" w:color="auto"/>
        <w:left w:val="none" w:sz="0" w:space="0" w:color="auto"/>
        <w:bottom w:val="none" w:sz="0" w:space="0" w:color="auto"/>
        <w:right w:val="none" w:sz="0" w:space="0" w:color="auto"/>
      </w:divBdr>
    </w:div>
    <w:div w:id="289282109">
      <w:bodyDiv w:val="1"/>
      <w:marLeft w:val="0"/>
      <w:marRight w:val="0"/>
      <w:marTop w:val="0"/>
      <w:marBottom w:val="0"/>
      <w:divBdr>
        <w:top w:val="none" w:sz="0" w:space="0" w:color="auto"/>
        <w:left w:val="none" w:sz="0" w:space="0" w:color="auto"/>
        <w:bottom w:val="none" w:sz="0" w:space="0" w:color="auto"/>
        <w:right w:val="none" w:sz="0" w:space="0" w:color="auto"/>
      </w:divBdr>
    </w:div>
    <w:div w:id="289946860">
      <w:bodyDiv w:val="1"/>
      <w:marLeft w:val="0"/>
      <w:marRight w:val="0"/>
      <w:marTop w:val="0"/>
      <w:marBottom w:val="0"/>
      <w:divBdr>
        <w:top w:val="none" w:sz="0" w:space="0" w:color="auto"/>
        <w:left w:val="none" w:sz="0" w:space="0" w:color="auto"/>
        <w:bottom w:val="none" w:sz="0" w:space="0" w:color="auto"/>
        <w:right w:val="none" w:sz="0" w:space="0" w:color="auto"/>
      </w:divBdr>
    </w:div>
    <w:div w:id="290062434">
      <w:bodyDiv w:val="1"/>
      <w:marLeft w:val="0"/>
      <w:marRight w:val="0"/>
      <w:marTop w:val="0"/>
      <w:marBottom w:val="0"/>
      <w:divBdr>
        <w:top w:val="none" w:sz="0" w:space="0" w:color="auto"/>
        <w:left w:val="none" w:sz="0" w:space="0" w:color="auto"/>
        <w:bottom w:val="none" w:sz="0" w:space="0" w:color="auto"/>
        <w:right w:val="none" w:sz="0" w:space="0" w:color="auto"/>
      </w:divBdr>
    </w:div>
    <w:div w:id="298266170">
      <w:bodyDiv w:val="1"/>
      <w:marLeft w:val="0"/>
      <w:marRight w:val="0"/>
      <w:marTop w:val="0"/>
      <w:marBottom w:val="0"/>
      <w:divBdr>
        <w:top w:val="none" w:sz="0" w:space="0" w:color="auto"/>
        <w:left w:val="none" w:sz="0" w:space="0" w:color="auto"/>
        <w:bottom w:val="none" w:sz="0" w:space="0" w:color="auto"/>
        <w:right w:val="none" w:sz="0" w:space="0" w:color="auto"/>
      </w:divBdr>
    </w:div>
    <w:div w:id="300160591">
      <w:bodyDiv w:val="1"/>
      <w:marLeft w:val="0"/>
      <w:marRight w:val="0"/>
      <w:marTop w:val="0"/>
      <w:marBottom w:val="0"/>
      <w:divBdr>
        <w:top w:val="none" w:sz="0" w:space="0" w:color="auto"/>
        <w:left w:val="none" w:sz="0" w:space="0" w:color="auto"/>
        <w:bottom w:val="none" w:sz="0" w:space="0" w:color="auto"/>
        <w:right w:val="none" w:sz="0" w:space="0" w:color="auto"/>
      </w:divBdr>
    </w:div>
    <w:div w:id="303005599">
      <w:bodyDiv w:val="1"/>
      <w:marLeft w:val="0"/>
      <w:marRight w:val="0"/>
      <w:marTop w:val="0"/>
      <w:marBottom w:val="0"/>
      <w:divBdr>
        <w:top w:val="none" w:sz="0" w:space="0" w:color="auto"/>
        <w:left w:val="none" w:sz="0" w:space="0" w:color="auto"/>
        <w:bottom w:val="none" w:sz="0" w:space="0" w:color="auto"/>
        <w:right w:val="none" w:sz="0" w:space="0" w:color="auto"/>
      </w:divBdr>
    </w:div>
    <w:div w:id="305354229">
      <w:bodyDiv w:val="1"/>
      <w:marLeft w:val="0"/>
      <w:marRight w:val="0"/>
      <w:marTop w:val="0"/>
      <w:marBottom w:val="0"/>
      <w:divBdr>
        <w:top w:val="none" w:sz="0" w:space="0" w:color="auto"/>
        <w:left w:val="none" w:sz="0" w:space="0" w:color="auto"/>
        <w:bottom w:val="none" w:sz="0" w:space="0" w:color="auto"/>
        <w:right w:val="none" w:sz="0" w:space="0" w:color="auto"/>
      </w:divBdr>
    </w:div>
    <w:div w:id="305548581">
      <w:bodyDiv w:val="1"/>
      <w:marLeft w:val="0"/>
      <w:marRight w:val="0"/>
      <w:marTop w:val="0"/>
      <w:marBottom w:val="0"/>
      <w:divBdr>
        <w:top w:val="none" w:sz="0" w:space="0" w:color="auto"/>
        <w:left w:val="none" w:sz="0" w:space="0" w:color="auto"/>
        <w:bottom w:val="none" w:sz="0" w:space="0" w:color="auto"/>
        <w:right w:val="none" w:sz="0" w:space="0" w:color="auto"/>
      </w:divBdr>
    </w:div>
    <w:div w:id="314141430">
      <w:bodyDiv w:val="1"/>
      <w:marLeft w:val="0"/>
      <w:marRight w:val="0"/>
      <w:marTop w:val="0"/>
      <w:marBottom w:val="0"/>
      <w:divBdr>
        <w:top w:val="none" w:sz="0" w:space="0" w:color="auto"/>
        <w:left w:val="none" w:sz="0" w:space="0" w:color="auto"/>
        <w:bottom w:val="none" w:sz="0" w:space="0" w:color="auto"/>
        <w:right w:val="none" w:sz="0" w:space="0" w:color="auto"/>
      </w:divBdr>
    </w:div>
    <w:div w:id="331227309">
      <w:bodyDiv w:val="1"/>
      <w:marLeft w:val="0"/>
      <w:marRight w:val="0"/>
      <w:marTop w:val="0"/>
      <w:marBottom w:val="0"/>
      <w:divBdr>
        <w:top w:val="none" w:sz="0" w:space="0" w:color="auto"/>
        <w:left w:val="none" w:sz="0" w:space="0" w:color="auto"/>
        <w:bottom w:val="none" w:sz="0" w:space="0" w:color="auto"/>
        <w:right w:val="none" w:sz="0" w:space="0" w:color="auto"/>
      </w:divBdr>
    </w:div>
    <w:div w:id="331228676">
      <w:bodyDiv w:val="1"/>
      <w:marLeft w:val="0"/>
      <w:marRight w:val="0"/>
      <w:marTop w:val="0"/>
      <w:marBottom w:val="0"/>
      <w:divBdr>
        <w:top w:val="none" w:sz="0" w:space="0" w:color="auto"/>
        <w:left w:val="none" w:sz="0" w:space="0" w:color="auto"/>
        <w:bottom w:val="none" w:sz="0" w:space="0" w:color="auto"/>
        <w:right w:val="none" w:sz="0" w:space="0" w:color="auto"/>
      </w:divBdr>
    </w:div>
    <w:div w:id="334189042">
      <w:bodyDiv w:val="1"/>
      <w:marLeft w:val="0"/>
      <w:marRight w:val="0"/>
      <w:marTop w:val="0"/>
      <w:marBottom w:val="0"/>
      <w:divBdr>
        <w:top w:val="none" w:sz="0" w:space="0" w:color="auto"/>
        <w:left w:val="none" w:sz="0" w:space="0" w:color="auto"/>
        <w:bottom w:val="none" w:sz="0" w:space="0" w:color="auto"/>
        <w:right w:val="none" w:sz="0" w:space="0" w:color="auto"/>
      </w:divBdr>
    </w:div>
    <w:div w:id="335353000">
      <w:bodyDiv w:val="1"/>
      <w:marLeft w:val="0"/>
      <w:marRight w:val="0"/>
      <w:marTop w:val="0"/>
      <w:marBottom w:val="0"/>
      <w:divBdr>
        <w:top w:val="none" w:sz="0" w:space="0" w:color="auto"/>
        <w:left w:val="none" w:sz="0" w:space="0" w:color="auto"/>
        <w:bottom w:val="none" w:sz="0" w:space="0" w:color="auto"/>
        <w:right w:val="none" w:sz="0" w:space="0" w:color="auto"/>
      </w:divBdr>
    </w:div>
    <w:div w:id="342440270">
      <w:bodyDiv w:val="1"/>
      <w:marLeft w:val="0"/>
      <w:marRight w:val="0"/>
      <w:marTop w:val="0"/>
      <w:marBottom w:val="0"/>
      <w:divBdr>
        <w:top w:val="none" w:sz="0" w:space="0" w:color="auto"/>
        <w:left w:val="none" w:sz="0" w:space="0" w:color="auto"/>
        <w:bottom w:val="none" w:sz="0" w:space="0" w:color="auto"/>
        <w:right w:val="none" w:sz="0" w:space="0" w:color="auto"/>
      </w:divBdr>
    </w:div>
    <w:div w:id="343098426">
      <w:bodyDiv w:val="1"/>
      <w:marLeft w:val="0"/>
      <w:marRight w:val="0"/>
      <w:marTop w:val="0"/>
      <w:marBottom w:val="0"/>
      <w:divBdr>
        <w:top w:val="none" w:sz="0" w:space="0" w:color="auto"/>
        <w:left w:val="none" w:sz="0" w:space="0" w:color="auto"/>
        <w:bottom w:val="none" w:sz="0" w:space="0" w:color="auto"/>
        <w:right w:val="none" w:sz="0" w:space="0" w:color="auto"/>
      </w:divBdr>
    </w:div>
    <w:div w:id="346298803">
      <w:bodyDiv w:val="1"/>
      <w:marLeft w:val="0"/>
      <w:marRight w:val="0"/>
      <w:marTop w:val="0"/>
      <w:marBottom w:val="0"/>
      <w:divBdr>
        <w:top w:val="none" w:sz="0" w:space="0" w:color="auto"/>
        <w:left w:val="none" w:sz="0" w:space="0" w:color="auto"/>
        <w:bottom w:val="none" w:sz="0" w:space="0" w:color="auto"/>
        <w:right w:val="none" w:sz="0" w:space="0" w:color="auto"/>
      </w:divBdr>
    </w:div>
    <w:div w:id="351808434">
      <w:bodyDiv w:val="1"/>
      <w:marLeft w:val="0"/>
      <w:marRight w:val="0"/>
      <w:marTop w:val="0"/>
      <w:marBottom w:val="0"/>
      <w:divBdr>
        <w:top w:val="none" w:sz="0" w:space="0" w:color="auto"/>
        <w:left w:val="none" w:sz="0" w:space="0" w:color="auto"/>
        <w:bottom w:val="none" w:sz="0" w:space="0" w:color="auto"/>
        <w:right w:val="none" w:sz="0" w:space="0" w:color="auto"/>
      </w:divBdr>
    </w:div>
    <w:div w:id="352457403">
      <w:bodyDiv w:val="1"/>
      <w:marLeft w:val="0"/>
      <w:marRight w:val="0"/>
      <w:marTop w:val="0"/>
      <w:marBottom w:val="0"/>
      <w:divBdr>
        <w:top w:val="none" w:sz="0" w:space="0" w:color="auto"/>
        <w:left w:val="none" w:sz="0" w:space="0" w:color="auto"/>
        <w:bottom w:val="none" w:sz="0" w:space="0" w:color="auto"/>
        <w:right w:val="none" w:sz="0" w:space="0" w:color="auto"/>
      </w:divBdr>
    </w:div>
    <w:div w:id="358970345">
      <w:bodyDiv w:val="1"/>
      <w:marLeft w:val="0"/>
      <w:marRight w:val="0"/>
      <w:marTop w:val="0"/>
      <w:marBottom w:val="0"/>
      <w:divBdr>
        <w:top w:val="none" w:sz="0" w:space="0" w:color="auto"/>
        <w:left w:val="none" w:sz="0" w:space="0" w:color="auto"/>
        <w:bottom w:val="none" w:sz="0" w:space="0" w:color="auto"/>
        <w:right w:val="none" w:sz="0" w:space="0" w:color="auto"/>
      </w:divBdr>
    </w:div>
    <w:div w:id="367948621">
      <w:bodyDiv w:val="1"/>
      <w:marLeft w:val="0"/>
      <w:marRight w:val="0"/>
      <w:marTop w:val="0"/>
      <w:marBottom w:val="0"/>
      <w:divBdr>
        <w:top w:val="none" w:sz="0" w:space="0" w:color="auto"/>
        <w:left w:val="none" w:sz="0" w:space="0" w:color="auto"/>
        <w:bottom w:val="none" w:sz="0" w:space="0" w:color="auto"/>
        <w:right w:val="none" w:sz="0" w:space="0" w:color="auto"/>
      </w:divBdr>
    </w:div>
    <w:div w:id="369385196">
      <w:bodyDiv w:val="1"/>
      <w:marLeft w:val="0"/>
      <w:marRight w:val="0"/>
      <w:marTop w:val="0"/>
      <w:marBottom w:val="0"/>
      <w:divBdr>
        <w:top w:val="none" w:sz="0" w:space="0" w:color="auto"/>
        <w:left w:val="none" w:sz="0" w:space="0" w:color="auto"/>
        <w:bottom w:val="none" w:sz="0" w:space="0" w:color="auto"/>
        <w:right w:val="none" w:sz="0" w:space="0" w:color="auto"/>
      </w:divBdr>
    </w:div>
    <w:div w:id="370231905">
      <w:bodyDiv w:val="1"/>
      <w:marLeft w:val="0"/>
      <w:marRight w:val="0"/>
      <w:marTop w:val="0"/>
      <w:marBottom w:val="0"/>
      <w:divBdr>
        <w:top w:val="none" w:sz="0" w:space="0" w:color="auto"/>
        <w:left w:val="none" w:sz="0" w:space="0" w:color="auto"/>
        <w:bottom w:val="none" w:sz="0" w:space="0" w:color="auto"/>
        <w:right w:val="none" w:sz="0" w:space="0" w:color="auto"/>
      </w:divBdr>
    </w:div>
    <w:div w:id="373849914">
      <w:bodyDiv w:val="1"/>
      <w:marLeft w:val="0"/>
      <w:marRight w:val="0"/>
      <w:marTop w:val="0"/>
      <w:marBottom w:val="0"/>
      <w:divBdr>
        <w:top w:val="none" w:sz="0" w:space="0" w:color="auto"/>
        <w:left w:val="none" w:sz="0" w:space="0" w:color="auto"/>
        <w:bottom w:val="none" w:sz="0" w:space="0" w:color="auto"/>
        <w:right w:val="none" w:sz="0" w:space="0" w:color="auto"/>
      </w:divBdr>
    </w:div>
    <w:div w:id="374236474">
      <w:bodyDiv w:val="1"/>
      <w:marLeft w:val="0"/>
      <w:marRight w:val="0"/>
      <w:marTop w:val="0"/>
      <w:marBottom w:val="0"/>
      <w:divBdr>
        <w:top w:val="none" w:sz="0" w:space="0" w:color="auto"/>
        <w:left w:val="none" w:sz="0" w:space="0" w:color="auto"/>
        <w:bottom w:val="none" w:sz="0" w:space="0" w:color="auto"/>
        <w:right w:val="none" w:sz="0" w:space="0" w:color="auto"/>
      </w:divBdr>
    </w:div>
    <w:div w:id="374354149">
      <w:bodyDiv w:val="1"/>
      <w:marLeft w:val="0"/>
      <w:marRight w:val="0"/>
      <w:marTop w:val="0"/>
      <w:marBottom w:val="0"/>
      <w:divBdr>
        <w:top w:val="none" w:sz="0" w:space="0" w:color="auto"/>
        <w:left w:val="none" w:sz="0" w:space="0" w:color="auto"/>
        <w:bottom w:val="none" w:sz="0" w:space="0" w:color="auto"/>
        <w:right w:val="none" w:sz="0" w:space="0" w:color="auto"/>
      </w:divBdr>
    </w:div>
    <w:div w:id="377239180">
      <w:bodyDiv w:val="1"/>
      <w:marLeft w:val="0"/>
      <w:marRight w:val="0"/>
      <w:marTop w:val="0"/>
      <w:marBottom w:val="0"/>
      <w:divBdr>
        <w:top w:val="none" w:sz="0" w:space="0" w:color="auto"/>
        <w:left w:val="none" w:sz="0" w:space="0" w:color="auto"/>
        <w:bottom w:val="none" w:sz="0" w:space="0" w:color="auto"/>
        <w:right w:val="none" w:sz="0" w:space="0" w:color="auto"/>
      </w:divBdr>
    </w:div>
    <w:div w:id="380137963">
      <w:bodyDiv w:val="1"/>
      <w:marLeft w:val="0"/>
      <w:marRight w:val="0"/>
      <w:marTop w:val="0"/>
      <w:marBottom w:val="0"/>
      <w:divBdr>
        <w:top w:val="none" w:sz="0" w:space="0" w:color="auto"/>
        <w:left w:val="none" w:sz="0" w:space="0" w:color="auto"/>
        <w:bottom w:val="none" w:sz="0" w:space="0" w:color="auto"/>
        <w:right w:val="none" w:sz="0" w:space="0" w:color="auto"/>
      </w:divBdr>
    </w:div>
    <w:div w:id="380177324">
      <w:bodyDiv w:val="1"/>
      <w:marLeft w:val="0"/>
      <w:marRight w:val="0"/>
      <w:marTop w:val="0"/>
      <w:marBottom w:val="0"/>
      <w:divBdr>
        <w:top w:val="none" w:sz="0" w:space="0" w:color="auto"/>
        <w:left w:val="none" w:sz="0" w:space="0" w:color="auto"/>
        <w:bottom w:val="none" w:sz="0" w:space="0" w:color="auto"/>
        <w:right w:val="none" w:sz="0" w:space="0" w:color="auto"/>
      </w:divBdr>
    </w:div>
    <w:div w:id="381290204">
      <w:bodyDiv w:val="1"/>
      <w:marLeft w:val="0"/>
      <w:marRight w:val="0"/>
      <w:marTop w:val="0"/>
      <w:marBottom w:val="0"/>
      <w:divBdr>
        <w:top w:val="none" w:sz="0" w:space="0" w:color="auto"/>
        <w:left w:val="none" w:sz="0" w:space="0" w:color="auto"/>
        <w:bottom w:val="none" w:sz="0" w:space="0" w:color="auto"/>
        <w:right w:val="none" w:sz="0" w:space="0" w:color="auto"/>
      </w:divBdr>
    </w:div>
    <w:div w:id="386804550">
      <w:bodyDiv w:val="1"/>
      <w:marLeft w:val="0"/>
      <w:marRight w:val="0"/>
      <w:marTop w:val="0"/>
      <w:marBottom w:val="0"/>
      <w:divBdr>
        <w:top w:val="none" w:sz="0" w:space="0" w:color="auto"/>
        <w:left w:val="none" w:sz="0" w:space="0" w:color="auto"/>
        <w:bottom w:val="none" w:sz="0" w:space="0" w:color="auto"/>
        <w:right w:val="none" w:sz="0" w:space="0" w:color="auto"/>
      </w:divBdr>
    </w:div>
    <w:div w:id="395008022">
      <w:bodyDiv w:val="1"/>
      <w:marLeft w:val="0"/>
      <w:marRight w:val="0"/>
      <w:marTop w:val="0"/>
      <w:marBottom w:val="0"/>
      <w:divBdr>
        <w:top w:val="none" w:sz="0" w:space="0" w:color="auto"/>
        <w:left w:val="none" w:sz="0" w:space="0" w:color="auto"/>
        <w:bottom w:val="none" w:sz="0" w:space="0" w:color="auto"/>
        <w:right w:val="none" w:sz="0" w:space="0" w:color="auto"/>
      </w:divBdr>
    </w:div>
    <w:div w:id="397434269">
      <w:bodyDiv w:val="1"/>
      <w:marLeft w:val="0"/>
      <w:marRight w:val="0"/>
      <w:marTop w:val="0"/>
      <w:marBottom w:val="0"/>
      <w:divBdr>
        <w:top w:val="none" w:sz="0" w:space="0" w:color="auto"/>
        <w:left w:val="none" w:sz="0" w:space="0" w:color="auto"/>
        <w:bottom w:val="none" w:sz="0" w:space="0" w:color="auto"/>
        <w:right w:val="none" w:sz="0" w:space="0" w:color="auto"/>
      </w:divBdr>
    </w:div>
    <w:div w:id="398022654">
      <w:bodyDiv w:val="1"/>
      <w:marLeft w:val="0"/>
      <w:marRight w:val="0"/>
      <w:marTop w:val="0"/>
      <w:marBottom w:val="0"/>
      <w:divBdr>
        <w:top w:val="none" w:sz="0" w:space="0" w:color="auto"/>
        <w:left w:val="none" w:sz="0" w:space="0" w:color="auto"/>
        <w:bottom w:val="none" w:sz="0" w:space="0" w:color="auto"/>
        <w:right w:val="none" w:sz="0" w:space="0" w:color="auto"/>
      </w:divBdr>
    </w:div>
    <w:div w:id="407118359">
      <w:bodyDiv w:val="1"/>
      <w:marLeft w:val="0"/>
      <w:marRight w:val="0"/>
      <w:marTop w:val="0"/>
      <w:marBottom w:val="0"/>
      <w:divBdr>
        <w:top w:val="none" w:sz="0" w:space="0" w:color="auto"/>
        <w:left w:val="none" w:sz="0" w:space="0" w:color="auto"/>
        <w:bottom w:val="none" w:sz="0" w:space="0" w:color="auto"/>
        <w:right w:val="none" w:sz="0" w:space="0" w:color="auto"/>
      </w:divBdr>
    </w:div>
    <w:div w:id="410391199">
      <w:bodyDiv w:val="1"/>
      <w:marLeft w:val="0"/>
      <w:marRight w:val="0"/>
      <w:marTop w:val="0"/>
      <w:marBottom w:val="0"/>
      <w:divBdr>
        <w:top w:val="none" w:sz="0" w:space="0" w:color="auto"/>
        <w:left w:val="none" w:sz="0" w:space="0" w:color="auto"/>
        <w:bottom w:val="none" w:sz="0" w:space="0" w:color="auto"/>
        <w:right w:val="none" w:sz="0" w:space="0" w:color="auto"/>
      </w:divBdr>
    </w:div>
    <w:div w:id="418865179">
      <w:bodyDiv w:val="1"/>
      <w:marLeft w:val="0"/>
      <w:marRight w:val="0"/>
      <w:marTop w:val="0"/>
      <w:marBottom w:val="0"/>
      <w:divBdr>
        <w:top w:val="none" w:sz="0" w:space="0" w:color="auto"/>
        <w:left w:val="none" w:sz="0" w:space="0" w:color="auto"/>
        <w:bottom w:val="none" w:sz="0" w:space="0" w:color="auto"/>
        <w:right w:val="none" w:sz="0" w:space="0" w:color="auto"/>
      </w:divBdr>
    </w:div>
    <w:div w:id="420182752">
      <w:bodyDiv w:val="1"/>
      <w:marLeft w:val="0"/>
      <w:marRight w:val="0"/>
      <w:marTop w:val="0"/>
      <w:marBottom w:val="0"/>
      <w:divBdr>
        <w:top w:val="none" w:sz="0" w:space="0" w:color="auto"/>
        <w:left w:val="none" w:sz="0" w:space="0" w:color="auto"/>
        <w:bottom w:val="none" w:sz="0" w:space="0" w:color="auto"/>
        <w:right w:val="none" w:sz="0" w:space="0" w:color="auto"/>
      </w:divBdr>
    </w:div>
    <w:div w:id="420763791">
      <w:bodyDiv w:val="1"/>
      <w:marLeft w:val="0"/>
      <w:marRight w:val="0"/>
      <w:marTop w:val="0"/>
      <w:marBottom w:val="0"/>
      <w:divBdr>
        <w:top w:val="none" w:sz="0" w:space="0" w:color="auto"/>
        <w:left w:val="none" w:sz="0" w:space="0" w:color="auto"/>
        <w:bottom w:val="none" w:sz="0" w:space="0" w:color="auto"/>
        <w:right w:val="none" w:sz="0" w:space="0" w:color="auto"/>
      </w:divBdr>
    </w:div>
    <w:div w:id="421343030">
      <w:bodyDiv w:val="1"/>
      <w:marLeft w:val="0"/>
      <w:marRight w:val="0"/>
      <w:marTop w:val="0"/>
      <w:marBottom w:val="0"/>
      <w:divBdr>
        <w:top w:val="none" w:sz="0" w:space="0" w:color="auto"/>
        <w:left w:val="none" w:sz="0" w:space="0" w:color="auto"/>
        <w:bottom w:val="none" w:sz="0" w:space="0" w:color="auto"/>
        <w:right w:val="none" w:sz="0" w:space="0" w:color="auto"/>
      </w:divBdr>
    </w:div>
    <w:div w:id="421604715">
      <w:bodyDiv w:val="1"/>
      <w:marLeft w:val="0"/>
      <w:marRight w:val="0"/>
      <w:marTop w:val="0"/>
      <w:marBottom w:val="0"/>
      <w:divBdr>
        <w:top w:val="none" w:sz="0" w:space="0" w:color="auto"/>
        <w:left w:val="none" w:sz="0" w:space="0" w:color="auto"/>
        <w:bottom w:val="none" w:sz="0" w:space="0" w:color="auto"/>
        <w:right w:val="none" w:sz="0" w:space="0" w:color="auto"/>
      </w:divBdr>
    </w:div>
    <w:div w:id="422604739">
      <w:bodyDiv w:val="1"/>
      <w:marLeft w:val="0"/>
      <w:marRight w:val="0"/>
      <w:marTop w:val="0"/>
      <w:marBottom w:val="0"/>
      <w:divBdr>
        <w:top w:val="none" w:sz="0" w:space="0" w:color="auto"/>
        <w:left w:val="none" w:sz="0" w:space="0" w:color="auto"/>
        <w:bottom w:val="none" w:sz="0" w:space="0" w:color="auto"/>
        <w:right w:val="none" w:sz="0" w:space="0" w:color="auto"/>
      </w:divBdr>
    </w:div>
    <w:div w:id="431242371">
      <w:bodyDiv w:val="1"/>
      <w:marLeft w:val="0"/>
      <w:marRight w:val="0"/>
      <w:marTop w:val="0"/>
      <w:marBottom w:val="0"/>
      <w:divBdr>
        <w:top w:val="none" w:sz="0" w:space="0" w:color="auto"/>
        <w:left w:val="none" w:sz="0" w:space="0" w:color="auto"/>
        <w:bottom w:val="none" w:sz="0" w:space="0" w:color="auto"/>
        <w:right w:val="none" w:sz="0" w:space="0" w:color="auto"/>
      </w:divBdr>
    </w:div>
    <w:div w:id="438912143">
      <w:bodyDiv w:val="1"/>
      <w:marLeft w:val="0"/>
      <w:marRight w:val="0"/>
      <w:marTop w:val="0"/>
      <w:marBottom w:val="0"/>
      <w:divBdr>
        <w:top w:val="none" w:sz="0" w:space="0" w:color="auto"/>
        <w:left w:val="none" w:sz="0" w:space="0" w:color="auto"/>
        <w:bottom w:val="none" w:sz="0" w:space="0" w:color="auto"/>
        <w:right w:val="none" w:sz="0" w:space="0" w:color="auto"/>
      </w:divBdr>
    </w:div>
    <w:div w:id="440303171">
      <w:bodyDiv w:val="1"/>
      <w:marLeft w:val="0"/>
      <w:marRight w:val="0"/>
      <w:marTop w:val="0"/>
      <w:marBottom w:val="0"/>
      <w:divBdr>
        <w:top w:val="none" w:sz="0" w:space="0" w:color="auto"/>
        <w:left w:val="none" w:sz="0" w:space="0" w:color="auto"/>
        <w:bottom w:val="none" w:sz="0" w:space="0" w:color="auto"/>
        <w:right w:val="none" w:sz="0" w:space="0" w:color="auto"/>
      </w:divBdr>
    </w:div>
    <w:div w:id="443811032">
      <w:bodyDiv w:val="1"/>
      <w:marLeft w:val="0"/>
      <w:marRight w:val="0"/>
      <w:marTop w:val="0"/>
      <w:marBottom w:val="0"/>
      <w:divBdr>
        <w:top w:val="none" w:sz="0" w:space="0" w:color="auto"/>
        <w:left w:val="none" w:sz="0" w:space="0" w:color="auto"/>
        <w:bottom w:val="none" w:sz="0" w:space="0" w:color="auto"/>
        <w:right w:val="none" w:sz="0" w:space="0" w:color="auto"/>
      </w:divBdr>
    </w:div>
    <w:div w:id="444689761">
      <w:bodyDiv w:val="1"/>
      <w:marLeft w:val="0"/>
      <w:marRight w:val="0"/>
      <w:marTop w:val="0"/>
      <w:marBottom w:val="0"/>
      <w:divBdr>
        <w:top w:val="none" w:sz="0" w:space="0" w:color="auto"/>
        <w:left w:val="none" w:sz="0" w:space="0" w:color="auto"/>
        <w:bottom w:val="none" w:sz="0" w:space="0" w:color="auto"/>
        <w:right w:val="none" w:sz="0" w:space="0" w:color="auto"/>
      </w:divBdr>
    </w:div>
    <w:div w:id="445926390">
      <w:bodyDiv w:val="1"/>
      <w:marLeft w:val="0"/>
      <w:marRight w:val="0"/>
      <w:marTop w:val="0"/>
      <w:marBottom w:val="0"/>
      <w:divBdr>
        <w:top w:val="none" w:sz="0" w:space="0" w:color="auto"/>
        <w:left w:val="none" w:sz="0" w:space="0" w:color="auto"/>
        <w:bottom w:val="none" w:sz="0" w:space="0" w:color="auto"/>
        <w:right w:val="none" w:sz="0" w:space="0" w:color="auto"/>
      </w:divBdr>
    </w:div>
    <w:div w:id="447898641">
      <w:bodyDiv w:val="1"/>
      <w:marLeft w:val="0"/>
      <w:marRight w:val="0"/>
      <w:marTop w:val="0"/>
      <w:marBottom w:val="0"/>
      <w:divBdr>
        <w:top w:val="none" w:sz="0" w:space="0" w:color="auto"/>
        <w:left w:val="none" w:sz="0" w:space="0" w:color="auto"/>
        <w:bottom w:val="none" w:sz="0" w:space="0" w:color="auto"/>
        <w:right w:val="none" w:sz="0" w:space="0" w:color="auto"/>
      </w:divBdr>
    </w:div>
    <w:div w:id="450051306">
      <w:bodyDiv w:val="1"/>
      <w:marLeft w:val="0"/>
      <w:marRight w:val="0"/>
      <w:marTop w:val="0"/>
      <w:marBottom w:val="0"/>
      <w:divBdr>
        <w:top w:val="none" w:sz="0" w:space="0" w:color="auto"/>
        <w:left w:val="none" w:sz="0" w:space="0" w:color="auto"/>
        <w:bottom w:val="none" w:sz="0" w:space="0" w:color="auto"/>
        <w:right w:val="none" w:sz="0" w:space="0" w:color="auto"/>
      </w:divBdr>
    </w:div>
    <w:div w:id="451360994">
      <w:bodyDiv w:val="1"/>
      <w:marLeft w:val="0"/>
      <w:marRight w:val="0"/>
      <w:marTop w:val="0"/>
      <w:marBottom w:val="0"/>
      <w:divBdr>
        <w:top w:val="none" w:sz="0" w:space="0" w:color="auto"/>
        <w:left w:val="none" w:sz="0" w:space="0" w:color="auto"/>
        <w:bottom w:val="none" w:sz="0" w:space="0" w:color="auto"/>
        <w:right w:val="none" w:sz="0" w:space="0" w:color="auto"/>
      </w:divBdr>
    </w:div>
    <w:div w:id="453060067">
      <w:bodyDiv w:val="1"/>
      <w:marLeft w:val="0"/>
      <w:marRight w:val="0"/>
      <w:marTop w:val="0"/>
      <w:marBottom w:val="0"/>
      <w:divBdr>
        <w:top w:val="none" w:sz="0" w:space="0" w:color="auto"/>
        <w:left w:val="none" w:sz="0" w:space="0" w:color="auto"/>
        <w:bottom w:val="none" w:sz="0" w:space="0" w:color="auto"/>
        <w:right w:val="none" w:sz="0" w:space="0" w:color="auto"/>
      </w:divBdr>
    </w:div>
    <w:div w:id="456097771">
      <w:bodyDiv w:val="1"/>
      <w:marLeft w:val="0"/>
      <w:marRight w:val="0"/>
      <w:marTop w:val="0"/>
      <w:marBottom w:val="0"/>
      <w:divBdr>
        <w:top w:val="none" w:sz="0" w:space="0" w:color="auto"/>
        <w:left w:val="none" w:sz="0" w:space="0" w:color="auto"/>
        <w:bottom w:val="none" w:sz="0" w:space="0" w:color="auto"/>
        <w:right w:val="none" w:sz="0" w:space="0" w:color="auto"/>
      </w:divBdr>
    </w:div>
    <w:div w:id="460391366">
      <w:bodyDiv w:val="1"/>
      <w:marLeft w:val="0"/>
      <w:marRight w:val="0"/>
      <w:marTop w:val="0"/>
      <w:marBottom w:val="0"/>
      <w:divBdr>
        <w:top w:val="none" w:sz="0" w:space="0" w:color="auto"/>
        <w:left w:val="none" w:sz="0" w:space="0" w:color="auto"/>
        <w:bottom w:val="none" w:sz="0" w:space="0" w:color="auto"/>
        <w:right w:val="none" w:sz="0" w:space="0" w:color="auto"/>
      </w:divBdr>
    </w:div>
    <w:div w:id="469634255">
      <w:bodyDiv w:val="1"/>
      <w:marLeft w:val="0"/>
      <w:marRight w:val="0"/>
      <w:marTop w:val="0"/>
      <w:marBottom w:val="0"/>
      <w:divBdr>
        <w:top w:val="none" w:sz="0" w:space="0" w:color="auto"/>
        <w:left w:val="none" w:sz="0" w:space="0" w:color="auto"/>
        <w:bottom w:val="none" w:sz="0" w:space="0" w:color="auto"/>
        <w:right w:val="none" w:sz="0" w:space="0" w:color="auto"/>
      </w:divBdr>
    </w:div>
    <w:div w:id="473134217">
      <w:bodyDiv w:val="1"/>
      <w:marLeft w:val="0"/>
      <w:marRight w:val="0"/>
      <w:marTop w:val="0"/>
      <w:marBottom w:val="0"/>
      <w:divBdr>
        <w:top w:val="none" w:sz="0" w:space="0" w:color="auto"/>
        <w:left w:val="none" w:sz="0" w:space="0" w:color="auto"/>
        <w:bottom w:val="none" w:sz="0" w:space="0" w:color="auto"/>
        <w:right w:val="none" w:sz="0" w:space="0" w:color="auto"/>
      </w:divBdr>
    </w:div>
    <w:div w:id="485782900">
      <w:bodyDiv w:val="1"/>
      <w:marLeft w:val="0"/>
      <w:marRight w:val="0"/>
      <w:marTop w:val="0"/>
      <w:marBottom w:val="0"/>
      <w:divBdr>
        <w:top w:val="none" w:sz="0" w:space="0" w:color="auto"/>
        <w:left w:val="none" w:sz="0" w:space="0" w:color="auto"/>
        <w:bottom w:val="none" w:sz="0" w:space="0" w:color="auto"/>
        <w:right w:val="none" w:sz="0" w:space="0" w:color="auto"/>
      </w:divBdr>
    </w:div>
    <w:div w:id="489710838">
      <w:bodyDiv w:val="1"/>
      <w:marLeft w:val="0"/>
      <w:marRight w:val="0"/>
      <w:marTop w:val="0"/>
      <w:marBottom w:val="0"/>
      <w:divBdr>
        <w:top w:val="none" w:sz="0" w:space="0" w:color="auto"/>
        <w:left w:val="none" w:sz="0" w:space="0" w:color="auto"/>
        <w:bottom w:val="none" w:sz="0" w:space="0" w:color="auto"/>
        <w:right w:val="none" w:sz="0" w:space="0" w:color="auto"/>
      </w:divBdr>
    </w:div>
    <w:div w:id="490102059">
      <w:bodyDiv w:val="1"/>
      <w:marLeft w:val="0"/>
      <w:marRight w:val="0"/>
      <w:marTop w:val="0"/>
      <w:marBottom w:val="0"/>
      <w:divBdr>
        <w:top w:val="none" w:sz="0" w:space="0" w:color="auto"/>
        <w:left w:val="none" w:sz="0" w:space="0" w:color="auto"/>
        <w:bottom w:val="none" w:sz="0" w:space="0" w:color="auto"/>
        <w:right w:val="none" w:sz="0" w:space="0" w:color="auto"/>
      </w:divBdr>
    </w:div>
    <w:div w:id="492836572">
      <w:bodyDiv w:val="1"/>
      <w:marLeft w:val="0"/>
      <w:marRight w:val="0"/>
      <w:marTop w:val="0"/>
      <w:marBottom w:val="0"/>
      <w:divBdr>
        <w:top w:val="none" w:sz="0" w:space="0" w:color="auto"/>
        <w:left w:val="none" w:sz="0" w:space="0" w:color="auto"/>
        <w:bottom w:val="none" w:sz="0" w:space="0" w:color="auto"/>
        <w:right w:val="none" w:sz="0" w:space="0" w:color="auto"/>
      </w:divBdr>
    </w:div>
    <w:div w:id="493683863">
      <w:bodyDiv w:val="1"/>
      <w:marLeft w:val="0"/>
      <w:marRight w:val="0"/>
      <w:marTop w:val="0"/>
      <w:marBottom w:val="0"/>
      <w:divBdr>
        <w:top w:val="none" w:sz="0" w:space="0" w:color="auto"/>
        <w:left w:val="none" w:sz="0" w:space="0" w:color="auto"/>
        <w:bottom w:val="none" w:sz="0" w:space="0" w:color="auto"/>
        <w:right w:val="none" w:sz="0" w:space="0" w:color="auto"/>
      </w:divBdr>
    </w:div>
    <w:div w:id="500000772">
      <w:bodyDiv w:val="1"/>
      <w:marLeft w:val="0"/>
      <w:marRight w:val="0"/>
      <w:marTop w:val="0"/>
      <w:marBottom w:val="0"/>
      <w:divBdr>
        <w:top w:val="none" w:sz="0" w:space="0" w:color="auto"/>
        <w:left w:val="none" w:sz="0" w:space="0" w:color="auto"/>
        <w:bottom w:val="none" w:sz="0" w:space="0" w:color="auto"/>
        <w:right w:val="none" w:sz="0" w:space="0" w:color="auto"/>
      </w:divBdr>
    </w:div>
    <w:div w:id="500003146">
      <w:bodyDiv w:val="1"/>
      <w:marLeft w:val="0"/>
      <w:marRight w:val="0"/>
      <w:marTop w:val="0"/>
      <w:marBottom w:val="0"/>
      <w:divBdr>
        <w:top w:val="none" w:sz="0" w:space="0" w:color="auto"/>
        <w:left w:val="none" w:sz="0" w:space="0" w:color="auto"/>
        <w:bottom w:val="none" w:sz="0" w:space="0" w:color="auto"/>
        <w:right w:val="none" w:sz="0" w:space="0" w:color="auto"/>
      </w:divBdr>
    </w:div>
    <w:div w:id="504789588">
      <w:bodyDiv w:val="1"/>
      <w:marLeft w:val="0"/>
      <w:marRight w:val="0"/>
      <w:marTop w:val="0"/>
      <w:marBottom w:val="0"/>
      <w:divBdr>
        <w:top w:val="none" w:sz="0" w:space="0" w:color="auto"/>
        <w:left w:val="none" w:sz="0" w:space="0" w:color="auto"/>
        <w:bottom w:val="none" w:sz="0" w:space="0" w:color="auto"/>
        <w:right w:val="none" w:sz="0" w:space="0" w:color="auto"/>
      </w:divBdr>
    </w:div>
    <w:div w:id="509949780">
      <w:bodyDiv w:val="1"/>
      <w:marLeft w:val="0"/>
      <w:marRight w:val="0"/>
      <w:marTop w:val="0"/>
      <w:marBottom w:val="0"/>
      <w:divBdr>
        <w:top w:val="none" w:sz="0" w:space="0" w:color="auto"/>
        <w:left w:val="none" w:sz="0" w:space="0" w:color="auto"/>
        <w:bottom w:val="none" w:sz="0" w:space="0" w:color="auto"/>
        <w:right w:val="none" w:sz="0" w:space="0" w:color="auto"/>
      </w:divBdr>
    </w:div>
    <w:div w:id="513228282">
      <w:bodyDiv w:val="1"/>
      <w:marLeft w:val="0"/>
      <w:marRight w:val="0"/>
      <w:marTop w:val="0"/>
      <w:marBottom w:val="0"/>
      <w:divBdr>
        <w:top w:val="none" w:sz="0" w:space="0" w:color="auto"/>
        <w:left w:val="none" w:sz="0" w:space="0" w:color="auto"/>
        <w:bottom w:val="none" w:sz="0" w:space="0" w:color="auto"/>
        <w:right w:val="none" w:sz="0" w:space="0" w:color="auto"/>
      </w:divBdr>
    </w:div>
    <w:div w:id="513693234">
      <w:bodyDiv w:val="1"/>
      <w:marLeft w:val="0"/>
      <w:marRight w:val="0"/>
      <w:marTop w:val="0"/>
      <w:marBottom w:val="0"/>
      <w:divBdr>
        <w:top w:val="none" w:sz="0" w:space="0" w:color="auto"/>
        <w:left w:val="none" w:sz="0" w:space="0" w:color="auto"/>
        <w:bottom w:val="none" w:sz="0" w:space="0" w:color="auto"/>
        <w:right w:val="none" w:sz="0" w:space="0" w:color="auto"/>
      </w:divBdr>
    </w:div>
    <w:div w:id="514464786">
      <w:bodyDiv w:val="1"/>
      <w:marLeft w:val="0"/>
      <w:marRight w:val="0"/>
      <w:marTop w:val="0"/>
      <w:marBottom w:val="0"/>
      <w:divBdr>
        <w:top w:val="none" w:sz="0" w:space="0" w:color="auto"/>
        <w:left w:val="none" w:sz="0" w:space="0" w:color="auto"/>
        <w:bottom w:val="none" w:sz="0" w:space="0" w:color="auto"/>
        <w:right w:val="none" w:sz="0" w:space="0" w:color="auto"/>
      </w:divBdr>
    </w:div>
    <w:div w:id="519660269">
      <w:bodyDiv w:val="1"/>
      <w:marLeft w:val="0"/>
      <w:marRight w:val="0"/>
      <w:marTop w:val="0"/>
      <w:marBottom w:val="0"/>
      <w:divBdr>
        <w:top w:val="none" w:sz="0" w:space="0" w:color="auto"/>
        <w:left w:val="none" w:sz="0" w:space="0" w:color="auto"/>
        <w:bottom w:val="none" w:sz="0" w:space="0" w:color="auto"/>
        <w:right w:val="none" w:sz="0" w:space="0" w:color="auto"/>
      </w:divBdr>
    </w:div>
    <w:div w:id="522667485">
      <w:bodyDiv w:val="1"/>
      <w:marLeft w:val="0"/>
      <w:marRight w:val="0"/>
      <w:marTop w:val="0"/>
      <w:marBottom w:val="0"/>
      <w:divBdr>
        <w:top w:val="none" w:sz="0" w:space="0" w:color="auto"/>
        <w:left w:val="none" w:sz="0" w:space="0" w:color="auto"/>
        <w:bottom w:val="none" w:sz="0" w:space="0" w:color="auto"/>
        <w:right w:val="none" w:sz="0" w:space="0" w:color="auto"/>
      </w:divBdr>
    </w:div>
    <w:div w:id="523788642">
      <w:bodyDiv w:val="1"/>
      <w:marLeft w:val="0"/>
      <w:marRight w:val="0"/>
      <w:marTop w:val="0"/>
      <w:marBottom w:val="0"/>
      <w:divBdr>
        <w:top w:val="none" w:sz="0" w:space="0" w:color="auto"/>
        <w:left w:val="none" w:sz="0" w:space="0" w:color="auto"/>
        <w:bottom w:val="none" w:sz="0" w:space="0" w:color="auto"/>
        <w:right w:val="none" w:sz="0" w:space="0" w:color="auto"/>
      </w:divBdr>
    </w:div>
    <w:div w:id="525362764">
      <w:bodyDiv w:val="1"/>
      <w:marLeft w:val="0"/>
      <w:marRight w:val="0"/>
      <w:marTop w:val="0"/>
      <w:marBottom w:val="0"/>
      <w:divBdr>
        <w:top w:val="none" w:sz="0" w:space="0" w:color="auto"/>
        <w:left w:val="none" w:sz="0" w:space="0" w:color="auto"/>
        <w:bottom w:val="none" w:sz="0" w:space="0" w:color="auto"/>
        <w:right w:val="none" w:sz="0" w:space="0" w:color="auto"/>
      </w:divBdr>
    </w:div>
    <w:div w:id="531303510">
      <w:bodyDiv w:val="1"/>
      <w:marLeft w:val="0"/>
      <w:marRight w:val="0"/>
      <w:marTop w:val="0"/>
      <w:marBottom w:val="0"/>
      <w:divBdr>
        <w:top w:val="none" w:sz="0" w:space="0" w:color="auto"/>
        <w:left w:val="none" w:sz="0" w:space="0" w:color="auto"/>
        <w:bottom w:val="none" w:sz="0" w:space="0" w:color="auto"/>
        <w:right w:val="none" w:sz="0" w:space="0" w:color="auto"/>
      </w:divBdr>
    </w:div>
    <w:div w:id="535508251">
      <w:bodyDiv w:val="1"/>
      <w:marLeft w:val="0"/>
      <w:marRight w:val="0"/>
      <w:marTop w:val="0"/>
      <w:marBottom w:val="0"/>
      <w:divBdr>
        <w:top w:val="none" w:sz="0" w:space="0" w:color="auto"/>
        <w:left w:val="none" w:sz="0" w:space="0" w:color="auto"/>
        <w:bottom w:val="none" w:sz="0" w:space="0" w:color="auto"/>
        <w:right w:val="none" w:sz="0" w:space="0" w:color="auto"/>
      </w:divBdr>
    </w:div>
    <w:div w:id="543295461">
      <w:bodyDiv w:val="1"/>
      <w:marLeft w:val="0"/>
      <w:marRight w:val="0"/>
      <w:marTop w:val="0"/>
      <w:marBottom w:val="0"/>
      <w:divBdr>
        <w:top w:val="none" w:sz="0" w:space="0" w:color="auto"/>
        <w:left w:val="none" w:sz="0" w:space="0" w:color="auto"/>
        <w:bottom w:val="none" w:sz="0" w:space="0" w:color="auto"/>
        <w:right w:val="none" w:sz="0" w:space="0" w:color="auto"/>
      </w:divBdr>
    </w:div>
    <w:div w:id="547498216">
      <w:bodyDiv w:val="1"/>
      <w:marLeft w:val="0"/>
      <w:marRight w:val="0"/>
      <w:marTop w:val="0"/>
      <w:marBottom w:val="0"/>
      <w:divBdr>
        <w:top w:val="none" w:sz="0" w:space="0" w:color="auto"/>
        <w:left w:val="none" w:sz="0" w:space="0" w:color="auto"/>
        <w:bottom w:val="none" w:sz="0" w:space="0" w:color="auto"/>
        <w:right w:val="none" w:sz="0" w:space="0" w:color="auto"/>
      </w:divBdr>
    </w:div>
    <w:div w:id="548029346">
      <w:bodyDiv w:val="1"/>
      <w:marLeft w:val="0"/>
      <w:marRight w:val="0"/>
      <w:marTop w:val="0"/>
      <w:marBottom w:val="0"/>
      <w:divBdr>
        <w:top w:val="none" w:sz="0" w:space="0" w:color="auto"/>
        <w:left w:val="none" w:sz="0" w:space="0" w:color="auto"/>
        <w:bottom w:val="none" w:sz="0" w:space="0" w:color="auto"/>
        <w:right w:val="none" w:sz="0" w:space="0" w:color="auto"/>
      </w:divBdr>
    </w:div>
    <w:div w:id="559638581">
      <w:bodyDiv w:val="1"/>
      <w:marLeft w:val="0"/>
      <w:marRight w:val="0"/>
      <w:marTop w:val="0"/>
      <w:marBottom w:val="0"/>
      <w:divBdr>
        <w:top w:val="none" w:sz="0" w:space="0" w:color="auto"/>
        <w:left w:val="none" w:sz="0" w:space="0" w:color="auto"/>
        <w:bottom w:val="none" w:sz="0" w:space="0" w:color="auto"/>
        <w:right w:val="none" w:sz="0" w:space="0" w:color="auto"/>
      </w:divBdr>
    </w:div>
    <w:div w:id="562257480">
      <w:bodyDiv w:val="1"/>
      <w:marLeft w:val="0"/>
      <w:marRight w:val="0"/>
      <w:marTop w:val="0"/>
      <w:marBottom w:val="0"/>
      <w:divBdr>
        <w:top w:val="none" w:sz="0" w:space="0" w:color="auto"/>
        <w:left w:val="none" w:sz="0" w:space="0" w:color="auto"/>
        <w:bottom w:val="none" w:sz="0" w:space="0" w:color="auto"/>
        <w:right w:val="none" w:sz="0" w:space="0" w:color="auto"/>
      </w:divBdr>
    </w:div>
    <w:div w:id="565385582">
      <w:bodyDiv w:val="1"/>
      <w:marLeft w:val="0"/>
      <w:marRight w:val="0"/>
      <w:marTop w:val="0"/>
      <w:marBottom w:val="0"/>
      <w:divBdr>
        <w:top w:val="none" w:sz="0" w:space="0" w:color="auto"/>
        <w:left w:val="none" w:sz="0" w:space="0" w:color="auto"/>
        <w:bottom w:val="none" w:sz="0" w:space="0" w:color="auto"/>
        <w:right w:val="none" w:sz="0" w:space="0" w:color="auto"/>
      </w:divBdr>
    </w:div>
    <w:div w:id="570576874">
      <w:bodyDiv w:val="1"/>
      <w:marLeft w:val="0"/>
      <w:marRight w:val="0"/>
      <w:marTop w:val="0"/>
      <w:marBottom w:val="0"/>
      <w:divBdr>
        <w:top w:val="none" w:sz="0" w:space="0" w:color="auto"/>
        <w:left w:val="none" w:sz="0" w:space="0" w:color="auto"/>
        <w:bottom w:val="none" w:sz="0" w:space="0" w:color="auto"/>
        <w:right w:val="none" w:sz="0" w:space="0" w:color="auto"/>
      </w:divBdr>
    </w:div>
    <w:div w:id="575676874">
      <w:bodyDiv w:val="1"/>
      <w:marLeft w:val="0"/>
      <w:marRight w:val="0"/>
      <w:marTop w:val="0"/>
      <w:marBottom w:val="0"/>
      <w:divBdr>
        <w:top w:val="none" w:sz="0" w:space="0" w:color="auto"/>
        <w:left w:val="none" w:sz="0" w:space="0" w:color="auto"/>
        <w:bottom w:val="none" w:sz="0" w:space="0" w:color="auto"/>
        <w:right w:val="none" w:sz="0" w:space="0" w:color="auto"/>
      </w:divBdr>
    </w:div>
    <w:div w:id="577404696">
      <w:bodyDiv w:val="1"/>
      <w:marLeft w:val="0"/>
      <w:marRight w:val="0"/>
      <w:marTop w:val="0"/>
      <w:marBottom w:val="0"/>
      <w:divBdr>
        <w:top w:val="none" w:sz="0" w:space="0" w:color="auto"/>
        <w:left w:val="none" w:sz="0" w:space="0" w:color="auto"/>
        <w:bottom w:val="none" w:sz="0" w:space="0" w:color="auto"/>
        <w:right w:val="none" w:sz="0" w:space="0" w:color="auto"/>
      </w:divBdr>
    </w:div>
    <w:div w:id="583220040">
      <w:bodyDiv w:val="1"/>
      <w:marLeft w:val="0"/>
      <w:marRight w:val="0"/>
      <w:marTop w:val="0"/>
      <w:marBottom w:val="0"/>
      <w:divBdr>
        <w:top w:val="none" w:sz="0" w:space="0" w:color="auto"/>
        <w:left w:val="none" w:sz="0" w:space="0" w:color="auto"/>
        <w:bottom w:val="none" w:sz="0" w:space="0" w:color="auto"/>
        <w:right w:val="none" w:sz="0" w:space="0" w:color="auto"/>
      </w:divBdr>
    </w:div>
    <w:div w:id="583337264">
      <w:bodyDiv w:val="1"/>
      <w:marLeft w:val="0"/>
      <w:marRight w:val="0"/>
      <w:marTop w:val="0"/>
      <w:marBottom w:val="0"/>
      <w:divBdr>
        <w:top w:val="none" w:sz="0" w:space="0" w:color="auto"/>
        <w:left w:val="none" w:sz="0" w:space="0" w:color="auto"/>
        <w:bottom w:val="none" w:sz="0" w:space="0" w:color="auto"/>
        <w:right w:val="none" w:sz="0" w:space="0" w:color="auto"/>
      </w:divBdr>
    </w:div>
    <w:div w:id="587424833">
      <w:bodyDiv w:val="1"/>
      <w:marLeft w:val="0"/>
      <w:marRight w:val="0"/>
      <w:marTop w:val="0"/>
      <w:marBottom w:val="0"/>
      <w:divBdr>
        <w:top w:val="none" w:sz="0" w:space="0" w:color="auto"/>
        <w:left w:val="none" w:sz="0" w:space="0" w:color="auto"/>
        <w:bottom w:val="none" w:sz="0" w:space="0" w:color="auto"/>
        <w:right w:val="none" w:sz="0" w:space="0" w:color="auto"/>
      </w:divBdr>
    </w:div>
    <w:div w:id="587886955">
      <w:bodyDiv w:val="1"/>
      <w:marLeft w:val="0"/>
      <w:marRight w:val="0"/>
      <w:marTop w:val="0"/>
      <w:marBottom w:val="0"/>
      <w:divBdr>
        <w:top w:val="none" w:sz="0" w:space="0" w:color="auto"/>
        <w:left w:val="none" w:sz="0" w:space="0" w:color="auto"/>
        <w:bottom w:val="none" w:sz="0" w:space="0" w:color="auto"/>
        <w:right w:val="none" w:sz="0" w:space="0" w:color="auto"/>
      </w:divBdr>
    </w:div>
    <w:div w:id="589777784">
      <w:bodyDiv w:val="1"/>
      <w:marLeft w:val="0"/>
      <w:marRight w:val="0"/>
      <w:marTop w:val="0"/>
      <w:marBottom w:val="0"/>
      <w:divBdr>
        <w:top w:val="none" w:sz="0" w:space="0" w:color="auto"/>
        <w:left w:val="none" w:sz="0" w:space="0" w:color="auto"/>
        <w:bottom w:val="none" w:sz="0" w:space="0" w:color="auto"/>
        <w:right w:val="none" w:sz="0" w:space="0" w:color="auto"/>
      </w:divBdr>
    </w:div>
    <w:div w:id="592252078">
      <w:bodyDiv w:val="1"/>
      <w:marLeft w:val="0"/>
      <w:marRight w:val="0"/>
      <w:marTop w:val="0"/>
      <w:marBottom w:val="0"/>
      <w:divBdr>
        <w:top w:val="none" w:sz="0" w:space="0" w:color="auto"/>
        <w:left w:val="none" w:sz="0" w:space="0" w:color="auto"/>
        <w:bottom w:val="none" w:sz="0" w:space="0" w:color="auto"/>
        <w:right w:val="none" w:sz="0" w:space="0" w:color="auto"/>
      </w:divBdr>
    </w:div>
    <w:div w:id="596408069">
      <w:bodyDiv w:val="1"/>
      <w:marLeft w:val="0"/>
      <w:marRight w:val="0"/>
      <w:marTop w:val="0"/>
      <w:marBottom w:val="0"/>
      <w:divBdr>
        <w:top w:val="none" w:sz="0" w:space="0" w:color="auto"/>
        <w:left w:val="none" w:sz="0" w:space="0" w:color="auto"/>
        <w:bottom w:val="none" w:sz="0" w:space="0" w:color="auto"/>
        <w:right w:val="none" w:sz="0" w:space="0" w:color="auto"/>
      </w:divBdr>
    </w:div>
    <w:div w:id="610166526">
      <w:bodyDiv w:val="1"/>
      <w:marLeft w:val="0"/>
      <w:marRight w:val="0"/>
      <w:marTop w:val="0"/>
      <w:marBottom w:val="0"/>
      <w:divBdr>
        <w:top w:val="none" w:sz="0" w:space="0" w:color="auto"/>
        <w:left w:val="none" w:sz="0" w:space="0" w:color="auto"/>
        <w:bottom w:val="none" w:sz="0" w:space="0" w:color="auto"/>
        <w:right w:val="none" w:sz="0" w:space="0" w:color="auto"/>
      </w:divBdr>
    </w:div>
    <w:div w:id="610431078">
      <w:bodyDiv w:val="1"/>
      <w:marLeft w:val="0"/>
      <w:marRight w:val="0"/>
      <w:marTop w:val="0"/>
      <w:marBottom w:val="0"/>
      <w:divBdr>
        <w:top w:val="none" w:sz="0" w:space="0" w:color="auto"/>
        <w:left w:val="none" w:sz="0" w:space="0" w:color="auto"/>
        <w:bottom w:val="none" w:sz="0" w:space="0" w:color="auto"/>
        <w:right w:val="none" w:sz="0" w:space="0" w:color="auto"/>
      </w:divBdr>
    </w:div>
    <w:div w:id="620111765">
      <w:bodyDiv w:val="1"/>
      <w:marLeft w:val="0"/>
      <w:marRight w:val="0"/>
      <w:marTop w:val="0"/>
      <w:marBottom w:val="0"/>
      <w:divBdr>
        <w:top w:val="none" w:sz="0" w:space="0" w:color="auto"/>
        <w:left w:val="none" w:sz="0" w:space="0" w:color="auto"/>
        <w:bottom w:val="none" w:sz="0" w:space="0" w:color="auto"/>
        <w:right w:val="none" w:sz="0" w:space="0" w:color="auto"/>
      </w:divBdr>
    </w:div>
    <w:div w:id="624427277">
      <w:bodyDiv w:val="1"/>
      <w:marLeft w:val="0"/>
      <w:marRight w:val="0"/>
      <w:marTop w:val="0"/>
      <w:marBottom w:val="0"/>
      <w:divBdr>
        <w:top w:val="none" w:sz="0" w:space="0" w:color="auto"/>
        <w:left w:val="none" w:sz="0" w:space="0" w:color="auto"/>
        <w:bottom w:val="none" w:sz="0" w:space="0" w:color="auto"/>
        <w:right w:val="none" w:sz="0" w:space="0" w:color="auto"/>
      </w:divBdr>
    </w:div>
    <w:div w:id="624582648">
      <w:bodyDiv w:val="1"/>
      <w:marLeft w:val="0"/>
      <w:marRight w:val="0"/>
      <w:marTop w:val="0"/>
      <w:marBottom w:val="0"/>
      <w:divBdr>
        <w:top w:val="none" w:sz="0" w:space="0" w:color="auto"/>
        <w:left w:val="none" w:sz="0" w:space="0" w:color="auto"/>
        <w:bottom w:val="none" w:sz="0" w:space="0" w:color="auto"/>
        <w:right w:val="none" w:sz="0" w:space="0" w:color="auto"/>
      </w:divBdr>
    </w:div>
    <w:div w:id="626280089">
      <w:bodyDiv w:val="1"/>
      <w:marLeft w:val="0"/>
      <w:marRight w:val="0"/>
      <w:marTop w:val="0"/>
      <w:marBottom w:val="0"/>
      <w:divBdr>
        <w:top w:val="none" w:sz="0" w:space="0" w:color="auto"/>
        <w:left w:val="none" w:sz="0" w:space="0" w:color="auto"/>
        <w:bottom w:val="none" w:sz="0" w:space="0" w:color="auto"/>
        <w:right w:val="none" w:sz="0" w:space="0" w:color="auto"/>
      </w:divBdr>
    </w:div>
    <w:div w:id="629477621">
      <w:bodyDiv w:val="1"/>
      <w:marLeft w:val="0"/>
      <w:marRight w:val="0"/>
      <w:marTop w:val="0"/>
      <w:marBottom w:val="0"/>
      <w:divBdr>
        <w:top w:val="none" w:sz="0" w:space="0" w:color="auto"/>
        <w:left w:val="none" w:sz="0" w:space="0" w:color="auto"/>
        <w:bottom w:val="none" w:sz="0" w:space="0" w:color="auto"/>
        <w:right w:val="none" w:sz="0" w:space="0" w:color="auto"/>
      </w:divBdr>
    </w:div>
    <w:div w:id="632253197">
      <w:bodyDiv w:val="1"/>
      <w:marLeft w:val="0"/>
      <w:marRight w:val="0"/>
      <w:marTop w:val="0"/>
      <w:marBottom w:val="0"/>
      <w:divBdr>
        <w:top w:val="none" w:sz="0" w:space="0" w:color="auto"/>
        <w:left w:val="none" w:sz="0" w:space="0" w:color="auto"/>
        <w:bottom w:val="none" w:sz="0" w:space="0" w:color="auto"/>
        <w:right w:val="none" w:sz="0" w:space="0" w:color="auto"/>
      </w:divBdr>
    </w:div>
    <w:div w:id="632952666">
      <w:bodyDiv w:val="1"/>
      <w:marLeft w:val="0"/>
      <w:marRight w:val="0"/>
      <w:marTop w:val="0"/>
      <w:marBottom w:val="0"/>
      <w:divBdr>
        <w:top w:val="none" w:sz="0" w:space="0" w:color="auto"/>
        <w:left w:val="none" w:sz="0" w:space="0" w:color="auto"/>
        <w:bottom w:val="none" w:sz="0" w:space="0" w:color="auto"/>
        <w:right w:val="none" w:sz="0" w:space="0" w:color="auto"/>
      </w:divBdr>
    </w:div>
    <w:div w:id="636380812">
      <w:bodyDiv w:val="1"/>
      <w:marLeft w:val="0"/>
      <w:marRight w:val="0"/>
      <w:marTop w:val="0"/>
      <w:marBottom w:val="0"/>
      <w:divBdr>
        <w:top w:val="none" w:sz="0" w:space="0" w:color="auto"/>
        <w:left w:val="none" w:sz="0" w:space="0" w:color="auto"/>
        <w:bottom w:val="none" w:sz="0" w:space="0" w:color="auto"/>
        <w:right w:val="none" w:sz="0" w:space="0" w:color="auto"/>
      </w:divBdr>
    </w:div>
    <w:div w:id="642002481">
      <w:bodyDiv w:val="1"/>
      <w:marLeft w:val="0"/>
      <w:marRight w:val="0"/>
      <w:marTop w:val="0"/>
      <w:marBottom w:val="0"/>
      <w:divBdr>
        <w:top w:val="none" w:sz="0" w:space="0" w:color="auto"/>
        <w:left w:val="none" w:sz="0" w:space="0" w:color="auto"/>
        <w:bottom w:val="none" w:sz="0" w:space="0" w:color="auto"/>
        <w:right w:val="none" w:sz="0" w:space="0" w:color="auto"/>
      </w:divBdr>
    </w:div>
    <w:div w:id="645473547">
      <w:bodyDiv w:val="1"/>
      <w:marLeft w:val="0"/>
      <w:marRight w:val="0"/>
      <w:marTop w:val="0"/>
      <w:marBottom w:val="0"/>
      <w:divBdr>
        <w:top w:val="none" w:sz="0" w:space="0" w:color="auto"/>
        <w:left w:val="none" w:sz="0" w:space="0" w:color="auto"/>
        <w:bottom w:val="none" w:sz="0" w:space="0" w:color="auto"/>
        <w:right w:val="none" w:sz="0" w:space="0" w:color="auto"/>
      </w:divBdr>
    </w:div>
    <w:div w:id="645935733">
      <w:bodyDiv w:val="1"/>
      <w:marLeft w:val="0"/>
      <w:marRight w:val="0"/>
      <w:marTop w:val="0"/>
      <w:marBottom w:val="0"/>
      <w:divBdr>
        <w:top w:val="none" w:sz="0" w:space="0" w:color="auto"/>
        <w:left w:val="none" w:sz="0" w:space="0" w:color="auto"/>
        <w:bottom w:val="none" w:sz="0" w:space="0" w:color="auto"/>
        <w:right w:val="none" w:sz="0" w:space="0" w:color="auto"/>
      </w:divBdr>
    </w:div>
    <w:div w:id="646403328">
      <w:bodyDiv w:val="1"/>
      <w:marLeft w:val="0"/>
      <w:marRight w:val="0"/>
      <w:marTop w:val="0"/>
      <w:marBottom w:val="0"/>
      <w:divBdr>
        <w:top w:val="none" w:sz="0" w:space="0" w:color="auto"/>
        <w:left w:val="none" w:sz="0" w:space="0" w:color="auto"/>
        <w:bottom w:val="none" w:sz="0" w:space="0" w:color="auto"/>
        <w:right w:val="none" w:sz="0" w:space="0" w:color="auto"/>
      </w:divBdr>
    </w:div>
    <w:div w:id="647974464">
      <w:bodyDiv w:val="1"/>
      <w:marLeft w:val="0"/>
      <w:marRight w:val="0"/>
      <w:marTop w:val="0"/>
      <w:marBottom w:val="0"/>
      <w:divBdr>
        <w:top w:val="none" w:sz="0" w:space="0" w:color="auto"/>
        <w:left w:val="none" w:sz="0" w:space="0" w:color="auto"/>
        <w:bottom w:val="none" w:sz="0" w:space="0" w:color="auto"/>
        <w:right w:val="none" w:sz="0" w:space="0" w:color="auto"/>
      </w:divBdr>
    </w:div>
    <w:div w:id="653795622">
      <w:bodyDiv w:val="1"/>
      <w:marLeft w:val="0"/>
      <w:marRight w:val="0"/>
      <w:marTop w:val="0"/>
      <w:marBottom w:val="0"/>
      <w:divBdr>
        <w:top w:val="none" w:sz="0" w:space="0" w:color="auto"/>
        <w:left w:val="none" w:sz="0" w:space="0" w:color="auto"/>
        <w:bottom w:val="none" w:sz="0" w:space="0" w:color="auto"/>
        <w:right w:val="none" w:sz="0" w:space="0" w:color="auto"/>
      </w:divBdr>
    </w:div>
    <w:div w:id="653996075">
      <w:bodyDiv w:val="1"/>
      <w:marLeft w:val="0"/>
      <w:marRight w:val="0"/>
      <w:marTop w:val="0"/>
      <w:marBottom w:val="0"/>
      <w:divBdr>
        <w:top w:val="none" w:sz="0" w:space="0" w:color="auto"/>
        <w:left w:val="none" w:sz="0" w:space="0" w:color="auto"/>
        <w:bottom w:val="none" w:sz="0" w:space="0" w:color="auto"/>
        <w:right w:val="none" w:sz="0" w:space="0" w:color="auto"/>
      </w:divBdr>
    </w:div>
    <w:div w:id="656149850">
      <w:bodyDiv w:val="1"/>
      <w:marLeft w:val="0"/>
      <w:marRight w:val="0"/>
      <w:marTop w:val="0"/>
      <w:marBottom w:val="0"/>
      <w:divBdr>
        <w:top w:val="none" w:sz="0" w:space="0" w:color="auto"/>
        <w:left w:val="none" w:sz="0" w:space="0" w:color="auto"/>
        <w:bottom w:val="none" w:sz="0" w:space="0" w:color="auto"/>
        <w:right w:val="none" w:sz="0" w:space="0" w:color="auto"/>
      </w:divBdr>
    </w:div>
    <w:div w:id="659697032">
      <w:bodyDiv w:val="1"/>
      <w:marLeft w:val="0"/>
      <w:marRight w:val="0"/>
      <w:marTop w:val="0"/>
      <w:marBottom w:val="0"/>
      <w:divBdr>
        <w:top w:val="none" w:sz="0" w:space="0" w:color="auto"/>
        <w:left w:val="none" w:sz="0" w:space="0" w:color="auto"/>
        <w:bottom w:val="none" w:sz="0" w:space="0" w:color="auto"/>
        <w:right w:val="none" w:sz="0" w:space="0" w:color="auto"/>
      </w:divBdr>
    </w:div>
    <w:div w:id="660307934">
      <w:bodyDiv w:val="1"/>
      <w:marLeft w:val="0"/>
      <w:marRight w:val="0"/>
      <w:marTop w:val="0"/>
      <w:marBottom w:val="0"/>
      <w:divBdr>
        <w:top w:val="none" w:sz="0" w:space="0" w:color="auto"/>
        <w:left w:val="none" w:sz="0" w:space="0" w:color="auto"/>
        <w:bottom w:val="none" w:sz="0" w:space="0" w:color="auto"/>
        <w:right w:val="none" w:sz="0" w:space="0" w:color="auto"/>
      </w:divBdr>
    </w:div>
    <w:div w:id="662667209">
      <w:bodyDiv w:val="1"/>
      <w:marLeft w:val="0"/>
      <w:marRight w:val="0"/>
      <w:marTop w:val="0"/>
      <w:marBottom w:val="0"/>
      <w:divBdr>
        <w:top w:val="none" w:sz="0" w:space="0" w:color="auto"/>
        <w:left w:val="none" w:sz="0" w:space="0" w:color="auto"/>
        <w:bottom w:val="none" w:sz="0" w:space="0" w:color="auto"/>
        <w:right w:val="none" w:sz="0" w:space="0" w:color="auto"/>
      </w:divBdr>
    </w:div>
    <w:div w:id="671109369">
      <w:marLeft w:val="0"/>
      <w:marRight w:val="0"/>
      <w:marTop w:val="0"/>
      <w:marBottom w:val="0"/>
      <w:divBdr>
        <w:top w:val="none" w:sz="0" w:space="0" w:color="auto"/>
        <w:left w:val="none" w:sz="0" w:space="0" w:color="auto"/>
        <w:bottom w:val="none" w:sz="0" w:space="0" w:color="auto"/>
        <w:right w:val="none" w:sz="0" w:space="0" w:color="auto"/>
      </w:divBdr>
    </w:div>
    <w:div w:id="675115436">
      <w:bodyDiv w:val="1"/>
      <w:marLeft w:val="0"/>
      <w:marRight w:val="0"/>
      <w:marTop w:val="0"/>
      <w:marBottom w:val="0"/>
      <w:divBdr>
        <w:top w:val="none" w:sz="0" w:space="0" w:color="auto"/>
        <w:left w:val="none" w:sz="0" w:space="0" w:color="auto"/>
        <w:bottom w:val="none" w:sz="0" w:space="0" w:color="auto"/>
        <w:right w:val="none" w:sz="0" w:space="0" w:color="auto"/>
      </w:divBdr>
    </w:div>
    <w:div w:id="677076364">
      <w:bodyDiv w:val="1"/>
      <w:marLeft w:val="0"/>
      <w:marRight w:val="0"/>
      <w:marTop w:val="0"/>
      <w:marBottom w:val="0"/>
      <w:divBdr>
        <w:top w:val="none" w:sz="0" w:space="0" w:color="auto"/>
        <w:left w:val="none" w:sz="0" w:space="0" w:color="auto"/>
        <w:bottom w:val="none" w:sz="0" w:space="0" w:color="auto"/>
        <w:right w:val="none" w:sz="0" w:space="0" w:color="auto"/>
      </w:divBdr>
    </w:div>
    <w:div w:id="693772105">
      <w:bodyDiv w:val="1"/>
      <w:marLeft w:val="0"/>
      <w:marRight w:val="0"/>
      <w:marTop w:val="0"/>
      <w:marBottom w:val="0"/>
      <w:divBdr>
        <w:top w:val="none" w:sz="0" w:space="0" w:color="auto"/>
        <w:left w:val="none" w:sz="0" w:space="0" w:color="auto"/>
        <w:bottom w:val="none" w:sz="0" w:space="0" w:color="auto"/>
        <w:right w:val="none" w:sz="0" w:space="0" w:color="auto"/>
      </w:divBdr>
    </w:div>
    <w:div w:id="695888660">
      <w:bodyDiv w:val="1"/>
      <w:marLeft w:val="0"/>
      <w:marRight w:val="0"/>
      <w:marTop w:val="0"/>
      <w:marBottom w:val="0"/>
      <w:divBdr>
        <w:top w:val="none" w:sz="0" w:space="0" w:color="auto"/>
        <w:left w:val="none" w:sz="0" w:space="0" w:color="auto"/>
        <w:bottom w:val="none" w:sz="0" w:space="0" w:color="auto"/>
        <w:right w:val="none" w:sz="0" w:space="0" w:color="auto"/>
      </w:divBdr>
    </w:div>
    <w:div w:id="704714814">
      <w:bodyDiv w:val="1"/>
      <w:marLeft w:val="0"/>
      <w:marRight w:val="0"/>
      <w:marTop w:val="0"/>
      <w:marBottom w:val="0"/>
      <w:divBdr>
        <w:top w:val="none" w:sz="0" w:space="0" w:color="auto"/>
        <w:left w:val="none" w:sz="0" w:space="0" w:color="auto"/>
        <w:bottom w:val="none" w:sz="0" w:space="0" w:color="auto"/>
        <w:right w:val="none" w:sz="0" w:space="0" w:color="auto"/>
      </w:divBdr>
    </w:div>
    <w:div w:id="708607509">
      <w:bodyDiv w:val="1"/>
      <w:marLeft w:val="0"/>
      <w:marRight w:val="0"/>
      <w:marTop w:val="0"/>
      <w:marBottom w:val="0"/>
      <w:divBdr>
        <w:top w:val="none" w:sz="0" w:space="0" w:color="auto"/>
        <w:left w:val="none" w:sz="0" w:space="0" w:color="auto"/>
        <w:bottom w:val="none" w:sz="0" w:space="0" w:color="auto"/>
        <w:right w:val="none" w:sz="0" w:space="0" w:color="auto"/>
      </w:divBdr>
    </w:div>
    <w:div w:id="715084074">
      <w:bodyDiv w:val="1"/>
      <w:marLeft w:val="0"/>
      <w:marRight w:val="0"/>
      <w:marTop w:val="0"/>
      <w:marBottom w:val="0"/>
      <w:divBdr>
        <w:top w:val="none" w:sz="0" w:space="0" w:color="auto"/>
        <w:left w:val="none" w:sz="0" w:space="0" w:color="auto"/>
        <w:bottom w:val="none" w:sz="0" w:space="0" w:color="auto"/>
        <w:right w:val="none" w:sz="0" w:space="0" w:color="auto"/>
      </w:divBdr>
    </w:div>
    <w:div w:id="716861131">
      <w:bodyDiv w:val="1"/>
      <w:marLeft w:val="0"/>
      <w:marRight w:val="0"/>
      <w:marTop w:val="0"/>
      <w:marBottom w:val="0"/>
      <w:divBdr>
        <w:top w:val="none" w:sz="0" w:space="0" w:color="auto"/>
        <w:left w:val="none" w:sz="0" w:space="0" w:color="auto"/>
        <w:bottom w:val="none" w:sz="0" w:space="0" w:color="auto"/>
        <w:right w:val="none" w:sz="0" w:space="0" w:color="auto"/>
      </w:divBdr>
    </w:div>
    <w:div w:id="723061291">
      <w:bodyDiv w:val="1"/>
      <w:marLeft w:val="0"/>
      <w:marRight w:val="0"/>
      <w:marTop w:val="0"/>
      <w:marBottom w:val="0"/>
      <w:divBdr>
        <w:top w:val="none" w:sz="0" w:space="0" w:color="auto"/>
        <w:left w:val="none" w:sz="0" w:space="0" w:color="auto"/>
        <w:bottom w:val="none" w:sz="0" w:space="0" w:color="auto"/>
        <w:right w:val="none" w:sz="0" w:space="0" w:color="auto"/>
      </w:divBdr>
    </w:div>
    <w:div w:id="724137073">
      <w:bodyDiv w:val="1"/>
      <w:marLeft w:val="0"/>
      <w:marRight w:val="0"/>
      <w:marTop w:val="0"/>
      <w:marBottom w:val="0"/>
      <w:divBdr>
        <w:top w:val="none" w:sz="0" w:space="0" w:color="auto"/>
        <w:left w:val="none" w:sz="0" w:space="0" w:color="auto"/>
        <w:bottom w:val="none" w:sz="0" w:space="0" w:color="auto"/>
        <w:right w:val="none" w:sz="0" w:space="0" w:color="auto"/>
      </w:divBdr>
    </w:div>
    <w:div w:id="726808166">
      <w:bodyDiv w:val="1"/>
      <w:marLeft w:val="0"/>
      <w:marRight w:val="0"/>
      <w:marTop w:val="0"/>
      <w:marBottom w:val="0"/>
      <w:divBdr>
        <w:top w:val="none" w:sz="0" w:space="0" w:color="auto"/>
        <w:left w:val="none" w:sz="0" w:space="0" w:color="auto"/>
        <w:bottom w:val="none" w:sz="0" w:space="0" w:color="auto"/>
        <w:right w:val="none" w:sz="0" w:space="0" w:color="auto"/>
      </w:divBdr>
    </w:div>
    <w:div w:id="730663582">
      <w:bodyDiv w:val="1"/>
      <w:marLeft w:val="0"/>
      <w:marRight w:val="0"/>
      <w:marTop w:val="0"/>
      <w:marBottom w:val="0"/>
      <w:divBdr>
        <w:top w:val="none" w:sz="0" w:space="0" w:color="auto"/>
        <w:left w:val="none" w:sz="0" w:space="0" w:color="auto"/>
        <w:bottom w:val="none" w:sz="0" w:space="0" w:color="auto"/>
        <w:right w:val="none" w:sz="0" w:space="0" w:color="auto"/>
      </w:divBdr>
    </w:div>
    <w:div w:id="731657573">
      <w:bodyDiv w:val="1"/>
      <w:marLeft w:val="0"/>
      <w:marRight w:val="0"/>
      <w:marTop w:val="0"/>
      <w:marBottom w:val="0"/>
      <w:divBdr>
        <w:top w:val="none" w:sz="0" w:space="0" w:color="auto"/>
        <w:left w:val="none" w:sz="0" w:space="0" w:color="auto"/>
        <w:bottom w:val="none" w:sz="0" w:space="0" w:color="auto"/>
        <w:right w:val="none" w:sz="0" w:space="0" w:color="auto"/>
      </w:divBdr>
    </w:div>
    <w:div w:id="734545726">
      <w:bodyDiv w:val="1"/>
      <w:marLeft w:val="0"/>
      <w:marRight w:val="0"/>
      <w:marTop w:val="0"/>
      <w:marBottom w:val="0"/>
      <w:divBdr>
        <w:top w:val="none" w:sz="0" w:space="0" w:color="auto"/>
        <w:left w:val="none" w:sz="0" w:space="0" w:color="auto"/>
        <w:bottom w:val="none" w:sz="0" w:space="0" w:color="auto"/>
        <w:right w:val="none" w:sz="0" w:space="0" w:color="auto"/>
      </w:divBdr>
    </w:div>
    <w:div w:id="736319180">
      <w:bodyDiv w:val="1"/>
      <w:marLeft w:val="0"/>
      <w:marRight w:val="0"/>
      <w:marTop w:val="0"/>
      <w:marBottom w:val="0"/>
      <w:divBdr>
        <w:top w:val="none" w:sz="0" w:space="0" w:color="auto"/>
        <w:left w:val="none" w:sz="0" w:space="0" w:color="auto"/>
        <w:bottom w:val="none" w:sz="0" w:space="0" w:color="auto"/>
        <w:right w:val="none" w:sz="0" w:space="0" w:color="auto"/>
      </w:divBdr>
    </w:div>
    <w:div w:id="743262459">
      <w:bodyDiv w:val="1"/>
      <w:marLeft w:val="0"/>
      <w:marRight w:val="0"/>
      <w:marTop w:val="0"/>
      <w:marBottom w:val="0"/>
      <w:divBdr>
        <w:top w:val="none" w:sz="0" w:space="0" w:color="auto"/>
        <w:left w:val="none" w:sz="0" w:space="0" w:color="auto"/>
        <w:bottom w:val="none" w:sz="0" w:space="0" w:color="auto"/>
        <w:right w:val="none" w:sz="0" w:space="0" w:color="auto"/>
      </w:divBdr>
    </w:div>
    <w:div w:id="745611519">
      <w:bodyDiv w:val="1"/>
      <w:marLeft w:val="0"/>
      <w:marRight w:val="0"/>
      <w:marTop w:val="0"/>
      <w:marBottom w:val="0"/>
      <w:divBdr>
        <w:top w:val="none" w:sz="0" w:space="0" w:color="auto"/>
        <w:left w:val="none" w:sz="0" w:space="0" w:color="auto"/>
        <w:bottom w:val="none" w:sz="0" w:space="0" w:color="auto"/>
        <w:right w:val="none" w:sz="0" w:space="0" w:color="auto"/>
      </w:divBdr>
    </w:div>
    <w:div w:id="748892069">
      <w:bodyDiv w:val="1"/>
      <w:marLeft w:val="0"/>
      <w:marRight w:val="0"/>
      <w:marTop w:val="0"/>
      <w:marBottom w:val="0"/>
      <w:divBdr>
        <w:top w:val="none" w:sz="0" w:space="0" w:color="auto"/>
        <w:left w:val="none" w:sz="0" w:space="0" w:color="auto"/>
        <w:bottom w:val="none" w:sz="0" w:space="0" w:color="auto"/>
        <w:right w:val="none" w:sz="0" w:space="0" w:color="auto"/>
      </w:divBdr>
    </w:div>
    <w:div w:id="749737073">
      <w:bodyDiv w:val="1"/>
      <w:marLeft w:val="0"/>
      <w:marRight w:val="0"/>
      <w:marTop w:val="0"/>
      <w:marBottom w:val="0"/>
      <w:divBdr>
        <w:top w:val="none" w:sz="0" w:space="0" w:color="auto"/>
        <w:left w:val="none" w:sz="0" w:space="0" w:color="auto"/>
        <w:bottom w:val="none" w:sz="0" w:space="0" w:color="auto"/>
        <w:right w:val="none" w:sz="0" w:space="0" w:color="auto"/>
      </w:divBdr>
    </w:div>
    <w:div w:id="749812436">
      <w:bodyDiv w:val="1"/>
      <w:marLeft w:val="0"/>
      <w:marRight w:val="0"/>
      <w:marTop w:val="0"/>
      <w:marBottom w:val="0"/>
      <w:divBdr>
        <w:top w:val="none" w:sz="0" w:space="0" w:color="auto"/>
        <w:left w:val="none" w:sz="0" w:space="0" w:color="auto"/>
        <w:bottom w:val="none" w:sz="0" w:space="0" w:color="auto"/>
        <w:right w:val="none" w:sz="0" w:space="0" w:color="auto"/>
      </w:divBdr>
    </w:div>
    <w:div w:id="750468948">
      <w:bodyDiv w:val="1"/>
      <w:marLeft w:val="0"/>
      <w:marRight w:val="0"/>
      <w:marTop w:val="0"/>
      <w:marBottom w:val="0"/>
      <w:divBdr>
        <w:top w:val="none" w:sz="0" w:space="0" w:color="auto"/>
        <w:left w:val="none" w:sz="0" w:space="0" w:color="auto"/>
        <w:bottom w:val="none" w:sz="0" w:space="0" w:color="auto"/>
        <w:right w:val="none" w:sz="0" w:space="0" w:color="auto"/>
      </w:divBdr>
    </w:div>
    <w:div w:id="755132463">
      <w:bodyDiv w:val="1"/>
      <w:marLeft w:val="0"/>
      <w:marRight w:val="0"/>
      <w:marTop w:val="0"/>
      <w:marBottom w:val="0"/>
      <w:divBdr>
        <w:top w:val="none" w:sz="0" w:space="0" w:color="auto"/>
        <w:left w:val="none" w:sz="0" w:space="0" w:color="auto"/>
        <w:bottom w:val="none" w:sz="0" w:space="0" w:color="auto"/>
        <w:right w:val="none" w:sz="0" w:space="0" w:color="auto"/>
      </w:divBdr>
    </w:div>
    <w:div w:id="763234445">
      <w:bodyDiv w:val="1"/>
      <w:marLeft w:val="0"/>
      <w:marRight w:val="0"/>
      <w:marTop w:val="0"/>
      <w:marBottom w:val="0"/>
      <w:divBdr>
        <w:top w:val="none" w:sz="0" w:space="0" w:color="auto"/>
        <w:left w:val="none" w:sz="0" w:space="0" w:color="auto"/>
        <w:bottom w:val="none" w:sz="0" w:space="0" w:color="auto"/>
        <w:right w:val="none" w:sz="0" w:space="0" w:color="auto"/>
      </w:divBdr>
    </w:div>
    <w:div w:id="769859674">
      <w:bodyDiv w:val="1"/>
      <w:marLeft w:val="0"/>
      <w:marRight w:val="0"/>
      <w:marTop w:val="0"/>
      <w:marBottom w:val="0"/>
      <w:divBdr>
        <w:top w:val="none" w:sz="0" w:space="0" w:color="auto"/>
        <w:left w:val="none" w:sz="0" w:space="0" w:color="auto"/>
        <w:bottom w:val="none" w:sz="0" w:space="0" w:color="auto"/>
        <w:right w:val="none" w:sz="0" w:space="0" w:color="auto"/>
      </w:divBdr>
    </w:div>
    <w:div w:id="775633902">
      <w:bodyDiv w:val="1"/>
      <w:marLeft w:val="0"/>
      <w:marRight w:val="0"/>
      <w:marTop w:val="0"/>
      <w:marBottom w:val="0"/>
      <w:divBdr>
        <w:top w:val="none" w:sz="0" w:space="0" w:color="auto"/>
        <w:left w:val="none" w:sz="0" w:space="0" w:color="auto"/>
        <w:bottom w:val="none" w:sz="0" w:space="0" w:color="auto"/>
        <w:right w:val="none" w:sz="0" w:space="0" w:color="auto"/>
      </w:divBdr>
    </w:div>
    <w:div w:id="776945629">
      <w:bodyDiv w:val="1"/>
      <w:marLeft w:val="0"/>
      <w:marRight w:val="0"/>
      <w:marTop w:val="0"/>
      <w:marBottom w:val="0"/>
      <w:divBdr>
        <w:top w:val="none" w:sz="0" w:space="0" w:color="auto"/>
        <w:left w:val="none" w:sz="0" w:space="0" w:color="auto"/>
        <w:bottom w:val="none" w:sz="0" w:space="0" w:color="auto"/>
        <w:right w:val="none" w:sz="0" w:space="0" w:color="auto"/>
      </w:divBdr>
    </w:div>
    <w:div w:id="794100818">
      <w:bodyDiv w:val="1"/>
      <w:marLeft w:val="0"/>
      <w:marRight w:val="0"/>
      <w:marTop w:val="0"/>
      <w:marBottom w:val="0"/>
      <w:divBdr>
        <w:top w:val="none" w:sz="0" w:space="0" w:color="auto"/>
        <w:left w:val="none" w:sz="0" w:space="0" w:color="auto"/>
        <w:bottom w:val="none" w:sz="0" w:space="0" w:color="auto"/>
        <w:right w:val="none" w:sz="0" w:space="0" w:color="auto"/>
      </w:divBdr>
    </w:div>
    <w:div w:id="794451625">
      <w:bodyDiv w:val="1"/>
      <w:marLeft w:val="0"/>
      <w:marRight w:val="0"/>
      <w:marTop w:val="0"/>
      <w:marBottom w:val="0"/>
      <w:divBdr>
        <w:top w:val="none" w:sz="0" w:space="0" w:color="auto"/>
        <w:left w:val="none" w:sz="0" w:space="0" w:color="auto"/>
        <w:bottom w:val="none" w:sz="0" w:space="0" w:color="auto"/>
        <w:right w:val="none" w:sz="0" w:space="0" w:color="auto"/>
      </w:divBdr>
    </w:div>
    <w:div w:id="800879700">
      <w:bodyDiv w:val="1"/>
      <w:marLeft w:val="0"/>
      <w:marRight w:val="0"/>
      <w:marTop w:val="0"/>
      <w:marBottom w:val="0"/>
      <w:divBdr>
        <w:top w:val="none" w:sz="0" w:space="0" w:color="auto"/>
        <w:left w:val="none" w:sz="0" w:space="0" w:color="auto"/>
        <w:bottom w:val="none" w:sz="0" w:space="0" w:color="auto"/>
        <w:right w:val="none" w:sz="0" w:space="0" w:color="auto"/>
      </w:divBdr>
    </w:div>
    <w:div w:id="806582744">
      <w:bodyDiv w:val="1"/>
      <w:marLeft w:val="0"/>
      <w:marRight w:val="0"/>
      <w:marTop w:val="0"/>
      <w:marBottom w:val="0"/>
      <w:divBdr>
        <w:top w:val="none" w:sz="0" w:space="0" w:color="auto"/>
        <w:left w:val="none" w:sz="0" w:space="0" w:color="auto"/>
        <w:bottom w:val="none" w:sz="0" w:space="0" w:color="auto"/>
        <w:right w:val="none" w:sz="0" w:space="0" w:color="auto"/>
      </w:divBdr>
    </w:div>
    <w:div w:id="821432733">
      <w:bodyDiv w:val="1"/>
      <w:marLeft w:val="0"/>
      <w:marRight w:val="0"/>
      <w:marTop w:val="0"/>
      <w:marBottom w:val="0"/>
      <w:divBdr>
        <w:top w:val="none" w:sz="0" w:space="0" w:color="auto"/>
        <w:left w:val="none" w:sz="0" w:space="0" w:color="auto"/>
        <w:bottom w:val="none" w:sz="0" w:space="0" w:color="auto"/>
        <w:right w:val="none" w:sz="0" w:space="0" w:color="auto"/>
      </w:divBdr>
    </w:div>
    <w:div w:id="822819825">
      <w:bodyDiv w:val="1"/>
      <w:marLeft w:val="0"/>
      <w:marRight w:val="0"/>
      <w:marTop w:val="0"/>
      <w:marBottom w:val="0"/>
      <w:divBdr>
        <w:top w:val="none" w:sz="0" w:space="0" w:color="auto"/>
        <w:left w:val="none" w:sz="0" w:space="0" w:color="auto"/>
        <w:bottom w:val="none" w:sz="0" w:space="0" w:color="auto"/>
        <w:right w:val="none" w:sz="0" w:space="0" w:color="auto"/>
      </w:divBdr>
    </w:div>
    <w:div w:id="827667867">
      <w:bodyDiv w:val="1"/>
      <w:marLeft w:val="0"/>
      <w:marRight w:val="0"/>
      <w:marTop w:val="0"/>
      <w:marBottom w:val="0"/>
      <w:divBdr>
        <w:top w:val="none" w:sz="0" w:space="0" w:color="auto"/>
        <w:left w:val="none" w:sz="0" w:space="0" w:color="auto"/>
        <w:bottom w:val="none" w:sz="0" w:space="0" w:color="auto"/>
        <w:right w:val="none" w:sz="0" w:space="0" w:color="auto"/>
      </w:divBdr>
    </w:div>
    <w:div w:id="827791786">
      <w:bodyDiv w:val="1"/>
      <w:marLeft w:val="0"/>
      <w:marRight w:val="0"/>
      <w:marTop w:val="0"/>
      <w:marBottom w:val="0"/>
      <w:divBdr>
        <w:top w:val="none" w:sz="0" w:space="0" w:color="auto"/>
        <w:left w:val="none" w:sz="0" w:space="0" w:color="auto"/>
        <w:bottom w:val="none" w:sz="0" w:space="0" w:color="auto"/>
        <w:right w:val="none" w:sz="0" w:space="0" w:color="auto"/>
      </w:divBdr>
    </w:div>
    <w:div w:id="827794607">
      <w:bodyDiv w:val="1"/>
      <w:marLeft w:val="0"/>
      <w:marRight w:val="0"/>
      <w:marTop w:val="0"/>
      <w:marBottom w:val="0"/>
      <w:divBdr>
        <w:top w:val="none" w:sz="0" w:space="0" w:color="auto"/>
        <w:left w:val="none" w:sz="0" w:space="0" w:color="auto"/>
        <w:bottom w:val="none" w:sz="0" w:space="0" w:color="auto"/>
        <w:right w:val="none" w:sz="0" w:space="0" w:color="auto"/>
      </w:divBdr>
    </w:div>
    <w:div w:id="843132913">
      <w:bodyDiv w:val="1"/>
      <w:marLeft w:val="0"/>
      <w:marRight w:val="0"/>
      <w:marTop w:val="0"/>
      <w:marBottom w:val="0"/>
      <w:divBdr>
        <w:top w:val="none" w:sz="0" w:space="0" w:color="auto"/>
        <w:left w:val="none" w:sz="0" w:space="0" w:color="auto"/>
        <w:bottom w:val="none" w:sz="0" w:space="0" w:color="auto"/>
        <w:right w:val="none" w:sz="0" w:space="0" w:color="auto"/>
      </w:divBdr>
    </w:div>
    <w:div w:id="844318110">
      <w:bodyDiv w:val="1"/>
      <w:marLeft w:val="0"/>
      <w:marRight w:val="0"/>
      <w:marTop w:val="0"/>
      <w:marBottom w:val="0"/>
      <w:divBdr>
        <w:top w:val="none" w:sz="0" w:space="0" w:color="auto"/>
        <w:left w:val="none" w:sz="0" w:space="0" w:color="auto"/>
        <w:bottom w:val="none" w:sz="0" w:space="0" w:color="auto"/>
        <w:right w:val="none" w:sz="0" w:space="0" w:color="auto"/>
      </w:divBdr>
    </w:div>
    <w:div w:id="845287270">
      <w:bodyDiv w:val="1"/>
      <w:marLeft w:val="0"/>
      <w:marRight w:val="0"/>
      <w:marTop w:val="0"/>
      <w:marBottom w:val="0"/>
      <w:divBdr>
        <w:top w:val="none" w:sz="0" w:space="0" w:color="auto"/>
        <w:left w:val="none" w:sz="0" w:space="0" w:color="auto"/>
        <w:bottom w:val="none" w:sz="0" w:space="0" w:color="auto"/>
        <w:right w:val="none" w:sz="0" w:space="0" w:color="auto"/>
      </w:divBdr>
    </w:div>
    <w:div w:id="855313819">
      <w:bodyDiv w:val="1"/>
      <w:marLeft w:val="0"/>
      <w:marRight w:val="0"/>
      <w:marTop w:val="0"/>
      <w:marBottom w:val="0"/>
      <w:divBdr>
        <w:top w:val="none" w:sz="0" w:space="0" w:color="auto"/>
        <w:left w:val="none" w:sz="0" w:space="0" w:color="auto"/>
        <w:bottom w:val="none" w:sz="0" w:space="0" w:color="auto"/>
        <w:right w:val="none" w:sz="0" w:space="0" w:color="auto"/>
      </w:divBdr>
    </w:div>
    <w:div w:id="862473775">
      <w:bodyDiv w:val="1"/>
      <w:marLeft w:val="0"/>
      <w:marRight w:val="0"/>
      <w:marTop w:val="0"/>
      <w:marBottom w:val="0"/>
      <w:divBdr>
        <w:top w:val="none" w:sz="0" w:space="0" w:color="auto"/>
        <w:left w:val="none" w:sz="0" w:space="0" w:color="auto"/>
        <w:bottom w:val="none" w:sz="0" w:space="0" w:color="auto"/>
        <w:right w:val="none" w:sz="0" w:space="0" w:color="auto"/>
      </w:divBdr>
    </w:div>
    <w:div w:id="865560213">
      <w:bodyDiv w:val="1"/>
      <w:marLeft w:val="0"/>
      <w:marRight w:val="0"/>
      <w:marTop w:val="0"/>
      <w:marBottom w:val="0"/>
      <w:divBdr>
        <w:top w:val="none" w:sz="0" w:space="0" w:color="auto"/>
        <w:left w:val="none" w:sz="0" w:space="0" w:color="auto"/>
        <w:bottom w:val="none" w:sz="0" w:space="0" w:color="auto"/>
        <w:right w:val="none" w:sz="0" w:space="0" w:color="auto"/>
      </w:divBdr>
    </w:div>
    <w:div w:id="878709183">
      <w:bodyDiv w:val="1"/>
      <w:marLeft w:val="0"/>
      <w:marRight w:val="0"/>
      <w:marTop w:val="0"/>
      <w:marBottom w:val="0"/>
      <w:divBdr>
        <w:top w:val="none" w:sz="0" w:space="0" w:color="auto"/>
        <w:left w:val="none" w:sz="0" w:space="0" w:color="auto"/>
        <w:bottom w:val="none" w:sz="0" w:space="0" w:color="auto"/>
        <w:right w:val="none" w:sz="0" w:space="0" w:color="auto"/>
      </w:divBdr>
    </w:div>
    <w:div w:id="880753590">
      <w:bodyDiv w:val="1"/>
      <w:marLeft w:val="0"/>
      <w:marRight w:val="0"/>
      <w:marTop w:val="0"/>
      <w:marBottom w:val="0"/>
      <w:divBdr>
        <w:top w:val="none" w:sz="0" w:space="0" w:color="auto"/>
        <w:left w:val="none" w:sz="0" w:space="0" w:color="auto"/>
        <w:bottom w:val="none" w:sz="0" w:space="0" w:color="auto"/>
        <w:right w:val="none" w:sz="0" w:space="0" w:color="auto"/>
      </w:divBdr>
    </w:div>
    <w:div w:id="882443833">
      <w:bodyDiv w:val="1"/>
      <w:marLeft w:val="0"/>
      <w:marRight w:val="0"/>
      <w:marTop w:val="0"/>
      <w:marBottom w:val="0"/>
      <w:divBdr>
        <w:top w:val="none" w:sz="0" w:space="0" w:color="auto"/>
        <w:left w:val="none" w:sz="0" w:space="0" w:color="auto"/>
        <w:bottom w:val="none" w:sz="0" w:space="0" w:color="auto"/>
        <w:right w:val="none" w:sz="0" w:space="0" w:color="auto"/>
      </w:divBdr>
    </w:div>
    <w:div w:id="883297722">
      <w:bodyDiv w:val="1"/>
      <w:marLeft w:val="0"/>
      <w:marRight w:val="0"/>
      <w:marTop w:val="0"/>
      <w:marBottom w:val="0"/>
      <w:divBdr>
        <w:top w:val="none" w:sz="0" w:space="0" w:color="auto"/>
        <w:left w:val="none" w:sz="0" w:space="0" w:color="auto"/>
        <w:bottom w:val="none" w:sz="0" w:space="0" w:color="auto"/>
        <w:right w:val="none" w:sz="0" w:space="0" w:color="auto"/>
      </w:divBdr>
    </w:div>
    <w:div w:id="883754537">
      <w:bodyDiv w:val="1"/>
      <w:marLeft w:val="0"/>
      <w:marRight w:val="0"/>
      <w:marTop w:val="0"/>
      <w:marBottom w:val="0"/>
      <w:divBdr>
        <w:top w:val="none" w:sz="0" w:space="0" w:color="auto"/>
        <w:left w:val="none" w:sz="0" w:space="0" w:color="auto"/>
        <w:bottom w:val="none" w:sz="0" w:space="0" w:color="auto"/>
        <w:right w:val="none" w:sz="0" w:space="0" w:color="auto"/>
      </w:divBdr>
    </w:div>
    <w:div w:id="883785090">
      <w:bodyDiv w:val="1"/>
      <w:marLeft w:val="0"/>
      <w:marRight w:val="0"/>
      <w:marTop w:val="0"/>
      <w:marBottom w:val="0"/>
      <w:divBdr>
        <w:top w:val="none" w:sz="0" w:space="0" w:color="auto"/>
        <w:left w:val="none" w:sz="0" w:space="0" w:color="auto"/>
        <w:bottom w:val="none" w:sz="0" w:space="0" w:color="auto"/>
        <w:right w:val="none" w:sz="0" w:space="0" w:color="auto"/>
      </w:divBdr>
    </w:div>
    <w:div w:id="885138751">
      <w:bodyDiv w:val="1"/>
      <w:marLeft w:val="0"/>
      <w:marRight w:val="0"/>
      <w:marTop w:val="0"/>
      <w:marBottom w:val="0"/>
      <w:divBdr>
        <w:top w:val="none" w:sz="0" w:space="0" w:color="auto"/>
        <w:left w:val="none" w:sz="0" w:space="0" w:color="auto"/>
        <w:bottom w:val="none" w:sz="0" w:space="0" w:color="auto"/>
        <w:right w:val="none" w:sz="0" w:space="0" w:color="auto"/>
      </w:divBdr>
    </w:div>
    <w:div w:id="890724543">
      <w:bodyDiv w:val="1"/>
      <w:marLeft w:val="0"/>
      <w:marRight w:val="0"/>
      <w:marTop w:val="0"/>
      <w:marBottom w:val="0"/>
      <w:divBdr>
        <w:top w:val="none" w:sz="0" w:space="0" w:color="auto"/>
        <w:left w:val="none" w:sz="0" w:space="0" w:color="auto"/>
        <w:bottom w:val="none" w:sz="0" w:space="0" w:color="auto"/>
        <w:right w:val="none" w:sz="0" w:space="0" w:color="auto"/>
      </w:divBdr>
    </w:div>
    <w:div w:id="891691266">
      <w:bodyDiv w:val="1"/>
      <w:marLeft w:val="0"/>
      <w:marRight w:val="0"/>
      <w:marTop w:val="0"/>
      <w:marBottom w:val="0"/>
      <w:divBdr>
        <w:top w:val="none" w:sz="0" w:space="0" w:color="auto"/>
        <w:left w:val="none" w:sz="0" w:space="0" w:color="auto"/>
        <w:bottom w:val="none" w:sz="0" w:space="0" w:color="auto"/>
        <w:right w:val="none" w:sz="0" w:space="0" w:color="auto"/>
      </w:divBdr>
    </w:div>
    <w:div w:id="894394993">
      <w:bodyDiv w:val="1"/>
      <w:marLeft w:val="0"/>
      <w:marRight w:val="0"/>
      <w:marTop w:val="0"/>
      <w:marBottom w:val="0"/>
      <w:divBdr>
        <w:top w:val="none" w:sz="0" w:space="0" w:color="auto"/>
        <w:left w:val="none" w:sz="0" w:space="0" w:color="auto"/>
        <w:bottom w:val="none" w:sz="0" w:space="0" w:color="auto"/>
        <w:right w:val="none" w:sz="0" w:space="0" w:color="auto"/>
      </w:divBdr>
    </w:div>
    <w:div w:id="896745852">
      <w:bodyDiv w:val="1"/>
      <w:marLeft w:val="0"/>
      <w:marRight w:val="0"/>
      <w:marTop w:val="0"/>
      <w:marBottom w:val="0"/>
      <w:divBdr>
        <w:top w:val="none" w:sz="0" w:space="0" w:color="auto"/>
        <w:left w:val="none" w:sz="0" w:space="0" w:color="auto"/>
        <w:bottom w:val="none" w:sz="0" w:space="0" w:color="auto"/>
        <w:right w:val="none" w:sz="0" w:space="0" w:color="auto"/>
      </w:divBdr>
    </w:div>
    <w:div w:id="903679641">
      <w:bodyDiv w:val="1"/>
      <w:marLeft w:val="0"/>
      <w:marRight w:val="0"/>
      <w:marTop w:val="0"/>
      <w:marBottom w:val="0"/>
      <w:divBdr>
        <w:top w:val="none" w:sz="0" w:space="0" w:color="auto"/>
        <w:left w:val="none" w:sz="0" w:space="0" w:color="auto"/>
        <w:bottom w:val="none" w:sz="0" w:space="0" w:color="auto"/>
        <w:right w:val="none" w:sz="0" w:space="0" w:color="auto"/>
      </w:divBdr>
    </w:div>
    <w:div w:id="904685669">
      <w:bodyDiv w:val="1"/>
      <w:marLeft w:val="0"/>
      <w:marRight w:val="0"/>
      <w:marTop w:val="0"/>
      <w:marBottom w:val="0"/>
      <w:divBdr>
        <w:top w:val="none" w:sz="0" w:space="0" w:color="auto"/>
        <w:left w:val="none" w:sz="0" w:space="0" w:color="auto"/>
        <w:bottom w:val="none" w:sz="0" w:space="0" w:color="auto"/>
        <w:right w:val="none" w:sz="0" w:space="0" w:color="auto"/>
      </w:divBdr>
    </w:div>
    <w:div w:id="906962853">
      <w:bodyDiv w:val="1"/>
      <w:marLeft w:val="0"/>
      <w:marRight w:val="0"/>
      <w:marTop w:val="0"/>
      <w:marBottom w:val="0"/>
      <w:divBdr>
        <w:top w:val="none" w:sz="0" w:space="0" w:color="auto"/>
        <w:left w:val="none" w:sz="0" w:space="0" w:color="auto"/>
        <w:bottom w:val="none" w:sz="0" w:space="0" w:color="auto"/>
        <w:right w:val="none" w:sz="0" w:space="0" w:color="auto"/>
      </w:divBdr>
    </w:div>
    <w:div w:id="915941570">
      <w:bodyDiv w:val="1"/>
      <w:marLeft w:val="0"/>
      <w:marRight w:val="0"/>
      <w:marTop w:val="0"/>
      <w:marBottom w:val="0"/>
      <w:divBdr>
        <w:top w:val="none" w:sz="0" w:space="0" w:color="auto"/>
        <w:left w:val="none" w:sz="0" w:space="0" w:color="auto"/>
        <w:bottom w:val="none" w:sz="0" w:space="0" w:color="auto"/>
        <w:right w:val="none" w:sz="0" w:space="0" w:color="auto"/>
      </w:divBdr>
    </w:div>
    <w:div w:id="916596311">
      <w:bodyDiv w:val="1"/>
      <w:marLeft w:val="0"/>
      <w:marRight w:val="0"/>
      <w:marTop w:val="0"/>
      <w:marBottom w:val="0"/>
      <w:divBdr>
        <w:top w:val="none" w:sz="0" w:space="0" w:color="auto"/>
        <w:left w:val="none" w:sz="0" w:space="0" w:color="auto"/>
        <w:bottom w:val="none" w:sz="0" w:space="0" w:color="auto"/>
        <w:right w:val="none" w:sz="0" w:space="0" w:color="auto"/>
      </w:divBdr>
    </w:div>
    <w:div w:id="925269036">
      <w:bodyDiv w:val="1"/>
      <w:marLeft w:val="0"/>
      <w:marRight w:val="0"/>
      <w:marTop w:val="0"/>
      <w:marBottom w:val="0"/>
      <w:divBdr>
        <w:top w:val="none" w:sz="0" w:space="0" w:color="auto"/>
        <w:left w:val="none" w:sz="0" w:space="0" w:color="auto"/>
        <w:bottom w:val="none" w:sz="0" w:space="0" w:color="auto"/>
        <w:right w:val="none" w:sz="0" w:space="0" w:color="auto"/>
      </w:divBdr>
    </w:div>
    <w:div w:id="928468389">
      <w:bodyDiv w:val="1"/>
      <w:marLeft w:val="0"/>
      <w:marRight w:val="0"/>
      <w:marTop w:val="0"/>
      <w:marBottom w:val="0"/>
      <w:divBdr>
        <w:top w:val="none" w:sz="0" w:space="0" w:color="auto"/>
        <w:left w:val="none" w:sz="0" w:space="0" w:color="auto"/>
        <w:bottom w:val="none" w:sz="0" w:space="0" w:color="auto"/>
        <w:right w:val="none" w:sz="0" w:space="0" w:color="auto"/>
      </w:divBdr>
    </w:div>
    <w:div w:id="928729906">
      <w:bodyDiv w:val="1"/>
      <w:marLeft w:val="0"/>
      <w:marRight w:val="0"/>
      <w:marTop w:val="0"/>
      <w:marBottom w:val="0"/>
      <w:divBdr>
        <w:top w:val="none" w:sz="0" w:space="0" w:color="auto"/>
        <w:left w:val="none" w:sz="0" w:space="0" w:color="auto"/>
        <w:bottom w:val="none" w:sz="0" w:space="0" w:color="auto"/>
        <w:right w:val="none" w:sz="0" w:space="0" w:color="auto"/>
      </w:divBdr>
    </w:div>
    <w:div w:id="930742994">
      <w:bodyDiv w:val="1"/>
      <w:marLeft w:val="0"/>
      <w:marRight w:val="0"/>
      <w:marTop w:val="0"/>
      <w:marBottom w:val="0"/>
      <w:divBdr>
        <w:top w:val="none" w:sz="0" w:space="0" w:color="auto"/>
        <w:left w:val="none" w:sz="0" w:space="0" w:color="auto"/>
        <w:bottom w:val="none" w:sz="0" w:space="0" w:color="auto"/>
        <w:right w:val="none" w:sz="0" w:space="0" w:color="auto"/>
      </w:divBdr>
    </w:div>
    <w:div w:id="932859963">
      <w:bodyDiv w:val="1"/>
      <w:marLeft w:val="0"/>
      <w:marRight w:val="0"/>
      <w:marTop w:val="0"/>
      <w:marBottom w:val="0"/>
      <w:divBdr>
        <w:top w:val="none" w:sz="0" w:space="0" w:color="auto"/>
        <w:left w:val="none" w:sz="0" w:space="0" w:color="auto"/>
        <w:bottom w:val="none" w:sz="0" w:space="0" w:color="auto"/>
        <w:right w:val="none" w:sz="0" w:space="0" w:color="auto"/>
      </w:divBdr>
    </w:div>
    <w:div w:id="934627596">
      <w:bodyDiv w:val="1"/>
      <w:marLeft w:val="0"/>
      <w:marRight w:val="0"/>
      <w:marTop w:val="0"/>
      <w:marBottom w:val="0"/>
      <w:divBdr>
        <w:top w:val="none" w:sz="0" w:space="0" w:color="auto"/>
        <w:left w:val="none" w:sz="0" w:space="0" w:color="auto"/>
        <w:bottom w:val="none" w:sz="0" w:space="0" w:color="auto"/>
        <w:right w:val="none" w:sz="0" w:space="0" w:color="auto"/>
      </w:divBdr>
    </w:div>
    <w:div w:id="938026254">
      <w:bodyDiv w:val="1"/>
      <w:marLeft w:val="0"/>
      <w:marRight w:val="0"/>
      <w:marTop w:val="0"/>
      <w:marBottom w:val="0"/>
      <w:divBdr>
        <w:top w:val="none" w:sz="0" w:space="0" w:color="auto"/>
        <w:left w:val="none" w:sz="0" w:space="0" w:color="auto"/>
        <w:bottom w:val="none" w:sz="0" w:space="0" w:color="auto"/>
        <w:right w:val="none" w:sz="0" w:space="0" w:color="auto"/>
      </w:divBdr>
    </w:div>
    <w:div w:id="945044371">
      <w:bodyDiv w:val="1"/>
      <w:marLeft w:val="0"/>
      <w:marRight w:val="0"/>
      <w:marTop w:val="0"/>
      <w:marBottom w:val="0"/>
      <w:divBdr>
        <w:top w:val="none" w:sz="0" w:space="0" w:color="auto"/>
        <w:left w:val="none" w:sz="0" w:space="0" w:color="auto"/>
        <w:bottom w:val="none" w:sz="0" w:space="0" w:color="auto"/>
        <w:right w:val="none" w:sz="0" w:space="0" w:color="auto"/>
      </w:divBdr>
    </w:div>
    <w:div w:id="947931567">
      <w:bodyDiv w:val="1"/>
      <w:marLeft w:val="0"/>
      <w:marRight w:val="0"/>
      <w:marTop w:val="0"/>
      <w:marBottom w:val="0"/>
      <w:divBdr>
        <w:top w:val="none" w:sz="0" w:space="0" w:color="auto"/>
        <w:left w:val="none" w:sz="0" w:space="0" w:color="auto"/>
        <w:bottom w:val="none" w:sz="0" w:space="0" w:color="auto"/>
        <w:right w:val="none" w:sz="0" w:space="0" w:color="auto"/>
      </w:divBdr>
    </w:div>
    <w:div w:id="951783868">
      <w:bodyDiv w:val="1"/>
      <w:marLeft w:val="0"/>
      <w:marRight w:val="0"/>
      <w:marTop w:val="0"/>
      <w:marBottom w:val="0"/>
      <w:divBdr>
        <w:top w:val="none" w:sz="0" w:space="0" w:color="auto"/>
        <w:left w:val="none" w:sz="0" w:space="0" w:color="auto"/>
        <w:bottom w:val="none" w:sz="0" w:space="0" w:color="auto"/>
        <w:right w:val="none" w:sz="0" w:space="0" w:color="auto"/>
      </w:divBdr>
    </w:div>
    <w:div w:id="954336862">
      <w:bodyDiv w:val="1"/>
      <w:marLeft w:val="0"/>
      <w:marRight w:val="0"/>
      <w:marTop w:val="0"/>
      <w:marBottom w:val="0"/>
      <w:divBdr>
        <w:top w:val="none" w:sz="0" w:space="0" w:color="auto"/>
        <w:left w:val="none" w:sz="0" w:space="0" w:color="auto"/>
        <w:bottom w:val="none" w:sz="0" w:space="0" w:color="auto"/>
        <w:right w:val="none" w:sz="0" w:space="0" w:color="auto"/>
      </w:divBdr>
    </w:div>
    <w:div w:id="954478581">
      <w:bodyDiv w:val="1"/>
      <w:marLeft w:val="0"/>
      <w:marRight w:val="0"/>
      <w:marTop w:val="0"/>
      <w:marBottom w:val="0"/>
      <w:divBdr>
        <w:top w:val="none" w:sz="0" w:space="0" w:color="auto"/>
        <w:left w:val="none" w:sz="0" w:space="0" w:color="auto"/>
        <w:bottom w:val="none" w:sz="0" w:space="0" w:color="auto"/>
        <w:right w:val="none" w:sz="0" w:space="0" w:color="auto"/>
      </w:divBdr>
    </w:div>
    <w:div w:id="956371113">
      <w:bodyDiv w:val="1"/>
      <w:marLeft w:val="0"/>
      <w:marRight w:val="0"/>
      <w:marTop w:val="0"/>
      <w:marBottom w:val="0"/>
      <w:divBdr>
        <w:top w:val="none" w:sz="0" w:space="0" w:color="auto"/>
        <w:left w:val="none" w:sz="0" w:space="0" w:color="auto"/>
        <w:bottom w:val="none" w:sz="0" w:space="0" w:color="auto"/>
        <w:right w:val="none" w:sz="0" w:space="0" w:color="auto"/>
      </w:divBdr>
    </w:div>
    <w:div w:id="960189015">
      <w:bodyDiv w:val="1"/>
      <w:marLeft w:val="0"/>
      <w:marRight w:val="0"/>
      <w:marTop w:val="0"/>
      <w:marBottom w:val="0"/>
      <w:divBdr>
        <w:top w:val="none" w:sz="0" w:space="0" w:color="auto"/>
        <w:left w:val="none" w:sz="0" w:space="0" w:color="auto"/>
        <w:bottom w:val="none" w:sz="0" w:space="0" w:color="auto"/>
        <w:right w:val="none" w:sz="0" w:space="0" w:color="auto"/>
      </w:divBdr>
    </w:div>
    <w:div w:id="972059272">
      <w:bodyDiv w:val="1"/>
      <w:marLeft w:val="0"/>
      <w:marRight w:val="0"/>
      <w:marTop w:val="0"/>
      <w:marBottom w:val="0"/>
      <w:divBdr>
        <w:top w:val="none" w:sz="0" w:space="0" w:color="auto"/>
        <w:left w:val="none" w:sz="0" w:space="0" w:color="auto"/>
        <w:bottom w:val="none" w:sz="0" w:space="0" w:color="auto"/>
        <w:right w:val="none" w:sz="0" w:space="0" w:color="auto"/>
      </w:divBdr>
    </w:div>
    <w:div w:id="974681827">
      <w:bodyDiv w:val="1"/>
      <w:marLeft w:val="0"/>
      <w:marRight w:val="0"/>
      <w:marTop w:val="0"/>
      <w:marBottom w:val="0"/>
      <w:divBdr>
        <w:top w:val="none" w:sz="0" w:space="0" w:color="auto"/>
        <w:left w:val="none" w:sz="0" w:space="0" w:color="auto"/>
        <w:bottom w:val="none" w:sz="0" w:space="0" w:color="auto"/>
        <w:right w:val="none" w:sz="0" w:space="0" w:color="auto"/>
      </w:divBdr>
    </w:div>
    <w:div w:id="979533443">
      <w:bodyDiv w:val="1"/>
      <w:marLeft w:val="0"/>
      <w:marRight w:val="0"/>
      <w:marTop w:val="0"/>
      <w:marBottom w:val="0"/>
      <w:divBdr>
        <w:top w:val="none" w:sz="0" w:space="0" w:color="auto"/>
        <w:left w:val="none" w:sz="0" w:space="0" w:color="auto"/>
        <w:bottom w:val="none" w:sz="0" w:space="0" w:color="auto"/>
        <w:right w:val="none" w:sz="0" w:space="0" w:color="auto"/>
      </w:divBdr>
    </w:div>
    <w:div w:id="995690648">
      <w:bodyDiv w:val="1"/>
      <w:marLeft w:val="0"/>
      <w:marRight w:val="0"/>
      <w:marTop w:val="0"/>
      <w:marBottom w:val="0"/>
      <w:divBdr>
        <w:top w:val="none" w:sz="0" w:space="0" w:color="auto"/>
        <w:left w:val="none" w:sz="0" w:space="0" w:color="auto"/>
        <w:bottom w:val="none" w:sz="0" w:space="0" w:color="auto"/>
        <w:right w:val="none" w:sz="0" w:space="0" w:color="auto"/>
      </w:divBdr>
    </w:div>
    <w:div w:id="997541355">
      <w:bodyDiv w:val="1"/>
      <w:marLeft w:val="0"/>
      <w:marRight w:val="0"/>
      <w:marTop w:val="0"/>
      <w:marBottom w:val="0"/>
      <w:divBdr>
        <w:top w:val="none" w:sz="0" w:space="0" w:color="auto"/>
        <w:left w:val="none" w:sz="0" w:space="0" w:color="auto"/>
        <w:bottom w:val="none" w:sz="0" w:space="0" w:color="auto"/>
        <w:right w:val="none" w:sz="0" w:space="0" w:color="auto"/>
      </w:divBdr>
    </w:div>
    <w:div w:id="998532466">
      <w:bodyDiv w:val="1"/>
      <w:marLeft w:val="0"/>
      <w:marRight w:val="0"/>
      <w:marTop w:val="0"/>
      <w:marBottom w:val="0"/>
      <w:divBdr>
        <w:top w:val="none" w:sz="0" w:space="0" w:color="auto"/>
        <w:left w:val="none" w:sz="0" w:space="0" w:color="auto"/>
        <w:bottom w:val="none" w:sz="0" w:space="0" w:color="auto"/>
        <w:right w:val="none" w:sz="0" w:space="0" w:color="auto"/>
      </w:divBdr>
    </w:div>
    <w:div w:id="1000474820">
      <w:bodyDiv w:val="1"/>
      <w:marLeft w:val="0"/>
      <w:marRight w:val="0"/>
      <w:marTop w:val="0"/>
      <w:marBottom w:val="0"/>
      <w:divBdr>
        <w:top w:val="none" w:sz="0" w:space="0" w:color="auto"/>
        <w:left w:val="none" w:sz="0" w:space="0" w:color="auto"/>
        <w:bottom w:val="none" w:sz="0" w:space="0" w:color="auto"/>
        <w:right w:val="none" w:sz="0" w:space="0" w:color="auto"/>
      </w:divBdr>
    </w:div>
    <w:div w:id="1005327895">
      <w:bodyDiv w:val="1"/>
      <w:marLeft w:val="0"/>
      <w:marRight w:val="0"/>
      <w:marTop w:val="0"/>
      <w:marBottom w:val="0"/>
      <w:divBdr>
        <w:top w:val="none" w:sz="0" w:space="0" w:color="auto"/>
        <w:left w:val="none" w:sz="0" w:space="0" w:color="auto"/>
        <w:bottom w:val="none" w:sz="0" w:space="0" w:color="auto"/>
        <w:right w:val="none" w:sz="0" w:space="0" w:color="auto"/>
      </w:divBdr>
    </w:div>
    <w:div w:id="1011488959">
      <w:bodyDiv w:val="1"/>
      <w:marLeft w:val="0"/>
      <w:marRight w:val="0"/>
      <w:marTop w:val="0"/>
      <w:marBottom w:val="0"/>
      <w:divBdr>
        <w:top w:val="none" w:sz="0" w:space="0" w:color="auto"/>
        <w:left w:val="none" w:sz="0" w:space="0" w:color="auto"/>
        <w:bottom w:val="none" w:sz="0" w:space="0" w:color="auto"/>
        <w:right w:val="none" w:sz="0" w:space="0" w:color="auto"/>
      </w:divBdr>
    </w:div>
    <w:div w:id="1015157773">
      <w:bodyDiv w:val="1"/>
      <w:marLeft w:val="0"/>
      <w:marRight w:val="0"/>
      <w:marTop w:val="0"/>
      <w:marBottom w:val="0"/>
      <w:divBdr>
        <w:top w:val="none" w:sz="0" w:space="0" w:color="auto"/>
        <w:left w:val="none" w:sz="0" w:space="0" w:color="auto"/>
        <w:bottom w:val="none" w:sz="0" w:space="0" w:color="auto"/>
        <w:right w:val="none" w:sz="0" w:space="0" w:color="auto"/>
      </w:divBdr>
    </w:div>
    <w:div w:id="1018848156">
      <w:bodyDiv w:val="1"/>
      <w:marLeft w:val="0"/>
      <w:marRight w:val="0"/>
      <w:marTop w:val="0"/>
      <w:marBottom w:val="0"/>
      <w:divBdr>
        <w:top w:val="none" w:sz="0" w:space="0" w:color="auto"/>
        <w:left w:val="none" w:sz="0" w:space="0" w:color="auto"/>
        <w:bottom w:val="none" w:sz="0" w:space="0" w:color="auto"/>
        <w:right w:val="none" w:sz="0" w:space="0" w:color="auto"/>
      </w:divBdr>
    </w:div>
    <w:div w:id="1023170656">
      <w:bodyDiv w:val="1"/>
      <w:marLeft w:val="0"/>
      <w:marRight w:val="0"/>
      <w:marTop w:val="0"/>
      <w:marBottom w:val="0"/>
      <w:divBdr>
        <w:top w:val="none" w:sz="0" w:space="0" w:color="auto"/>
        <w:left w:val="none" w:sz="0" w:space="0" w:color="auto"/>
        <w:bottom w:val="none" w:sz="0" w:space="0" w:color="auto"/>
        <w:right w:val="none" w:sz="0" w:space="0" w:color="auto"/>
      </w:divBdr>
    </w:div>
    <w:div w:id="1034039715">
      <w:bodyDiv w:val="1"/>
      <w:marLeft w:val="0"/>
      <w:marRight w:val="0"/>
      <w:marTop w:val="0"/>
      <w:marBottom w:val="0"/>
      <w:divBdr>
        <w:top w:val="none" w:sz="0" w:space="0" w:color="auto"/>
        <w:left w:val="none" w:sz="0" w:space="0" w:color="auto"/>
        <w:bottom w:val="none" w:sz="0" w:space="0" w:color="auto"/>
        <w:right w:val="none" w:sz="0" w:space="0" w:color="auto"/>
      </w:divBdr>
    </w:div>
    <w:div w:id="1040008642">
      <w:bodyDiv w:val="1"/>
      <w:marLeft w:val="0"/>
      <w:marRight w:val="0"/>
      <w:marTop w:val="0"/>
      <w:marBottom w:val="0"/>
      <w:divBdr>
        <w:top w:val="none" w:sz="0" w:space="0" w:color="auto"/>
        <w:left w:val="none" w:sz="0" w:space="0" w:color="auto"/>
        <w:bottom w:val="none" w:sz="0" w:space="0" w:color="auto"/>
        <w:right w:val="none" w:sz="0" w:space="0" w:color="auto"/>
      </w:divBdr>
    </w:div>
    <w:div w:id="1049376853">
      <w:bodyDiv w:val="1"/>
      <w:marLeft w:val="0"/>
      <w:marRight w:val="0"/>
      <w:marTop w:val="0"/>
      <w:marBottom w:val="0"/>
      <w:divBdr>
        <w:top w:val="none" w:sz="0" w:space="0" w:color="auto"/>
        <w:left w:val="none" w:sz="0" w:space="0" w:color="auto"/>
        <w:bottom w:val="none" w:sz="0" w:space="0" w:color="auto"/>
        <w:right w:val="none" w:sz="0" w:space="0" w:color="auto"/>
      </w:divBdr>
    </w:div>
    <w:div w:id="1052269295">
      <w:bodyDiv w:val="1"/>
      <w:marLeft w:val="0"/>
      <w:marRight w:val="0"/>
      <w:marTop w:val="0"/>
      <w:marBottom w:val="0"/>
      <w:divBdr>
        <w:top w:val="none" w:sz="0" w:space="0" w:color="auto"/>
        <w:left w:val="none" w:sz="0" w:space="0" w:color="auto"/>
        <w:bottom w:val="none" w:sz="0" w:space="0" w:color="auto"/>
        <w:right w:val="none" w:sz="0" w:space="0" w:color="auto"/>
      </w:divBdr>
    </w:div>
    <w:div w:id="1055392293">
      <w:bodyDiv w:val="1"/>
      <w:marLeft w:val="0"/>
      <w:marRight w:val="0"/>
      <w:marTop w:val="0"/>
      <w:marBottom w:val="0"/>
      <w:divBdr>
        <w:top w:val="none" w:sz="0" w:space="0" w:color="auto"/>
        <w:left w:val="none" w:sz="0" w:space="0" w:color="auto"/>
        <w:bottom w:val="none" w:sz="0" w:space="0" w:color="auto"/>
        <w:right w:val="none" w:sz="0" w:space="0" w:color="auto"/>
      </w:divBdr>
    </w:div>
    <w:div w:id="1059599221">
      <w:bodyDiv w:val="1"/>
      <w:marLeft w:val="0"/>
      <w:marRight w:val="0"/>
      <w:marTop w:val="0"/>
      <w:marBottom w:val="0"/>
      <w:divBdr>
        <w:top w:val="none" w:sz="0" w:space="0" w:color="auto"/>
        <w:left w:val="none" w:sz="0" w:space="0" w:color="auto"/>
        <w:bottom w:val="none" w:sz="0" w:space="0" w:color="auto"/>
        <w:right w:val="none" w:sz="0" w:space="0" w:color="auto"/>
      </w:divBdr>
    </w:div>
    <w:div w:id="1062097472">
      <w:bodyDiv w:val="1"/>
      <w:marLeft w:val="0"/>
      <w:marRight w:val="0"/>
      <w:marTop w:val="0"/>
      <w:marBottom w:val="0"/>
      <w:divBdr>
        <w:top w:val="none" w:sz="0" w:space="0" w:color="auto"/>
        <w:left w:val="none" w:sz="0" w:space="0" w:color="auto"/>
        <w:bottom w:val="none" w:sz="0" w:space="0" w:color="auto"/>
        <w:right w:val="none" w:sz="0" w:space="0" w:color="auto"/>
      </w:divBdr>
    </w:div>
    <w:div w:id="1068114241">
      <w:bodyDiv w:val="1"/>
      <w:marLeft w:val="0"/>
      <w:marRight w:val="0"/>
      <w:marTop w:val="0"/>
      <w:marBottom w:val="0"/>
      <w:divBdr>
        <w:top w:val="none" w:sz="0" w:space="0" w:color="auto"/>
        <w:left w:val="none" w:sz="0" w:space="0" w:color="auto"/>
        <w:bottom w:val="none" w:sz="0" w:space="0" w:color="auto"/>
        <w:right w:val="none" w:sz="0" w:space="0" w:color="auto"/>
      </w:divBdr>
    </w:div>
    <w:div w:id="1071460489">
      <w:bodyDiv w:val="1"/>
      <w:marLeft w:val="0"/>
      <w:marRight w:val="0"/>
      <w:marTop w:val="0"/>
      <w:marBottom w:val="0"/>
      <w:divBdr>
        <w:top w:val="none" w:sz="0" w:space="0" w:color="auto"/>
        <w:left w:val="none" w:sz="0" w:space="0" w:color="auto"/>
        <w:bottom w:val="none" w:sz="0" w:space="0" w:color="auto"/>
        <w:right w:val="none" w:sz="0" w:space="0" w:color="auto"/>
      </w:divBdr>
    </w:div>
    <w:div w:id="1077827712">
      <w:bodyDiv w:val="1"/>
      <w:marLeft w:val="0"/>
      <w:marRight w:val="0"/>
      <w:marTop w:val="0"/>
      <w:marBottom w:val="0"/>
      <w:divBdr>
        <w:top w:val="none" w:sz="0" w:space="0" w:color="auto"/>
        <w:left w:val="none" w:sz="0" w:space="0" w:color="auto"/>
        <w:bottom w:val="none" w:sz="0" w:space="0" w:color="auto"/>
        <w:right w:val="none" w:sz="0" w:space="0" w:color="auto"/>
      </w:divBdr>
    </w:div>
    <w:div w:id="1078476489">
      <w:bodyDiv w:val="1"/>
      <w:marLeft w:val="0"/>
      <w:marRight w:val="0"/>
      <w:marTop w:val="0"/>
      <w:marBottom w:val="0"/>
      <w:divBdr>
        <w:top w:val="none" w:sz="0" w:space="0" w:color="auto"/>
        <w:left w:val="none" w:sz="0" w:space="0" w:color="auto"/>
        <w:bottom w:val="none" w:sz="0" w:space="0" w:color="auto"/>
        <w:right w:val="none" w:sz="0" w:space="0" w:color="auto"/>
      </w:divBdr>
    </w:div>
    <w:div w:id="1082262531">
      <w:bodyDiv w:val="1"/>
      <w:marLeft w:val="0"/>
      <w:marRight w:val="0"/>
      <w:marTop w:val="0"/>
      <w:marBottom w:val="0"/>
      <w:divBdr>
        <w:top w:val="none" w:sz="0" w:space="0" w:color="auto"/>
        <w:left w:val="none" w:sz="0" w:space="0" w:color="auto"/>
        <w:bottom w:val="none" w:sz="0" w:space="0" w:color="auto"/>
        <w:right w:val="none" w:sz="0" w:space="0" w:color="auto"/>
      </w:divBdr>
    </w:div>
    <w:div w:id="1083180386">
      <w:bodyDiv w:val="1"/>
      <w:marLeft w:val="0"/>
      <w:marRight w:val="0"/>
      <w:marTop w:val="0"/>
      <w:marBottom w:val="0"/>
      <w:divBdr>
        <w:top w:val="none" w:sz="0" w:space="0" w:color="auto"/>
        <w:left w:val="none" w:sz="0" w:space="0" w:color="auto"/>
        <w:bottom w:val="none" w:sz="0" w:space="0" w:color="auto"/>
        <w:right w:val="none" w:sz="0" w:space="0" w:color="auto"/>
      </w:divBdr>
    </w:div>
    <w:div w:id="1085423006">
      <w:bodyDiv w:val="1"/>
      <w:marLeft w:val="0"/>
      <w:marRight w:val="0"/>
      <w:marTop w:val="0"/>
      <w:marBottom w:val="0"/>
      <w:divBdr>
        <w:top w:val="none" w:sz="0" w:space="0" w:color="auto"/>
        <w:left w:val="none" w:sz="0" w:space="0" w:color="auto"/>
        <w:bottom w:val="none" w:sz="0" w:space="0" w:color="auto"/>
        <w:right w:val="none" w:sz="0" w:space="0" w:color="auto"/>
      </w:divBdr>
    </w:div>
    <w:div w:id="1110129428">
      <w:bodyDiv w:val="1"/>
      <w:marLeft w:val="0"/>
      <w:marRight w:val="0"/>
      <w:marTop w:val="0"/>
      <w:marBottom w:val="0"/>
      <w:divBdr>
        <w:top w:val="none" w:sz="0" w:space="0" w:color="auto"/>
        <w:left w:val="none" w:sz="0" w:space="0" w:color="auto"/>
        <w:bottom w:val="none" w:sz="0" w:space="0" w:color="auto"/>
        <w:right w:val="none" w:sz="0" w:space="0" w:color="auto"/>
      </w:divBdr>
    </w:div>
    <w:div w:id="1116559210">
      <w:bodyDiv w:val="1"/>
      <w:marLeft w:val="0"/>
      <w:marRight w:val="0"/>
      <w:marTop w:val="0"/>
      <w:marBottom w:val="0"/>
      <w:divBdr>
        <w:top w:val="none" w:sz="0" w:space="0" w:color="auto"/>
        <w:left w:val="none" w:sz="0" w:space="0" w:color="auto"/>
        <w:bottom w:val="none" w:sz="0" w:space="0" w:color="auto"/>
        <w:right w:val="none" w:sz="0" w:space="0" w:color="auto"/>
      </w:divBdr>
    </w:div>
    <w:div w:id="1120950529">
      <w:bodyDiv w:val="1"/>
      <w:marLeft w:val="0"/>
      <w:marRight w:val="0"/>
      <w:marTop w:val="0"/>
      <w:marBottom w:val="0"/>
      <w:divBdr>
        <w:top w:val="none" w:sz="0" w:space="0" w:color="auto"/>
        <w:left w:val="none" w:sz="0" w:space="0" w:color="auto"/>
        <w:bottom w:val="none" w:sz="0" w:space="0" w:color="auto"/>
        <w:right w:val="none" w:sz="0" w:space="0" w:color="auto"/>
      </w:divBdr>
    </w:div>
    <w:div w:id="1121265836">
      <w:bodyDiv w:val="1"/>
      <w:marLeft w:val="0"/>
      <w:marRight w:val="0"/>
      <w:marTop w:val="0"/>
      <w:marBottom w:val="0"/>
      <w:divBdr>
        <w:top w:val="none" w:sz="0" w:space="0" w:color="auto"/>
        <w:left w:val="none" w:sz="0" w:space="0" w:color="auto"/>
        <w:bottom w:val="none" w:sz="0" w:space="0" w:color="auto"/>
        <w:right w:val="none" w:sz="0" w:space="0" w:color="auto"/>
      </w:divBdr>
    </w:div>
    <w:div w:id="1123965835">
      <w:bodyDiv w:val="1"/>
      <w:marLeft w:val="0"/>
      <w:marRight w:val="0"/>
      <w:marTop w:val="0"/>
      <w:marBottom w:val="0"/>
      <w:divBdr>
        <w:top w:val="none" w:sz="0" w:space="0" w:color="auto"/>
        <w:left w:val="none" w:sz="0" w:space="0" w:color="auto"/>
        <w:bottom w:val="none" w:sz="0" w:space="0" w:color="auto"/>
        <w:right w:val="none" w:sz="0" w:space="0" w:color="auto"/>
      </w:divBdr>
    </w:div>
    <w:div w:id="1128746225">
      <w:bodyDiv w:val="1"/>
      <w:marLeft w:val="0"/>
      <w:marRight w:val="0"/>
      <w:marTop w:val="0"/>
      <w:marBottom w:val="0"/>
      <w:divBdr>
        <w:top w:val="none" w:sz="0" w:space="0" w:color="auto"/>
        <w:left w:val="none" w:sz="0" w:space="0" w:color="auto"/>
        <w:bottom w:val="none" w:sz="0" w:space="0" w:color="auto"/>
        <w:right w:val="none" w:sz="0" w:space="0" w:color="auto"/>
      </w:divBdr>
    </w:div>
    <w:div w:id="1131286830">
      <w:bodyDiv w:val="1"/>
      <w:marLeft w:val="0"/>
      <w:marRight w:val="0"/>
      <w:marTop w:val="0"/>
      <w:marBottom w:val="0"/>
      <w:divBdr>
        <w:top w:val="none" w:sz="0" w:space="0" w:color="auto"/>
        <w:left w:val="none" w:sz="0" w:space="0" w:color="auto"/>
        <w:bottom w:val="none" w:sz="0" w:space="0" w:color="auto"/>
        <w:right w:val="none" w:sz="0" w:space="0" w:color="auto"/>
      </w:divBdr>
    </w:div>
    <w:div w:id="1135028543">
      <w:bodyDiv w:val="1"/>
      <w:marLeft w:val="0"/>
      <w:marRight w:val="0"/>
      <w:marTop w:val="0"/>
      <w:marBottom w:val="0"/>
      <w:divBdr>
        <w:top w:val="none" w:sz="0" w:space="0" w:color="auto"/>
        <w:left w:val="none" w:sz="0" w:space="0" w:color="auto"/>
        <w:bottom w:val="none" w:sz="0" w:space="0" w:color="auto"/>
        <w:right w:val="none" w:sz="0" w:space="0" w:color="auto"/>
      </w:divBdr>
    </w:div>
    <w:div w:id="1141507631">
      <w:bodyDiv w:val="1"/>
      <w:marLeft w:val="0"/>
      <w:marRight w:val="0"/>
      <w:marTop w:val="0"/>
      <w:marBottom w:val="0"/>
      <w:divBdr>
        <w:top w:val="none" w:sz="0" w:space="0" w:color="auto"/>
        <w:left w:val="none" w:sz="0" w:space="0" w:color="auto"/>
        <w:bottom w:val="none" w:sz="0" w:space="0" w:color="auto"/>
        <w:right w:val="none" w:sz="0" w:space="0" w:color="auto"/>
      </w:divBdr>
    </w:div>
    <w:div w:id="1141845181">
      <w:bodyDiv w:val="1"/>
      <w:marLeft w:val="0"/>
      <w:marRight w:val="0"/>
      <w:marTop w:val="0"/>
      <w:marBottom w:val="0"/>
      <w:divBdr>
        <w:top w:val="none" w:sz="0" w:space="0" w:color="auto"/>
        <w:left w:val="none" w:sz="0" w:space="0" w:color="auto"/>
        <w:bottom w:val="none" w:sz="0" w:space="0" w:color="auto"/>
        <w:right w:val="none" w:sz="0" w:space="0" w:color="auto"/>
      </w:divBdr>
    </w:div>
    <w:div w:id="1142498994">
      <w:bodyDiv w:val="1"/>
      <w:marLeft w:val="0"/>
      <w:marRight w:val="0"/>
      <w:marTop w:val="0"/>
      <w:marBottom w:val="0"/>
      <w:divBdr>
        <w:top w:val="none" w:sz="0" w:space="0" w:color="auto"/>
        <w:left w:val="none" w:sz="0" w:space="0" w:color="auto"/>
        <w:bottom w:val="none" w:sz="0" w:space="0" w:color="auto"/>
        <w:right w:val="none" w:sz="0" w:space="0" w:color="auto"/>
      </w:divBdr>
    </w:div>
    <w:div w:id="1155687991">
      <w:bodyDiv w:val="1"/>
      <w:marLeft w:val="0"/>
      <w:marRight w:val="0"/>
      <w:marTop w:val="0"/>
      <w:marBottom w:val="0"/>
      <w:divBdr>
        <w:top w:val="none" w:sz="0" w:space="0" w:color="auto"/>
        <w:left w:val="none" w:sz="0" w:space="0" w:color="auto"/>
        <w:bottom w:val="none" w:sz="0" w:space="0" w:color="auto"/>
        <w:right w:val="none" w:sz="0" w:space="0" w:color="auto"/>
      </w:divBdr>
    </w:div>
    <w:div w:id="1157765864">
      <w:bodyDiv w:val="1"/>
      <w:marLeft w:val="0"/>
      <w:marRight w:val="0"/>
      <w:marTop w:val="0"/>
      <w:marBottom w:val="0"/>
      <w:divBdr>
        <w:top w:val="none" w:sz="0" w:space="0" w:color="auto"/>
        <w:left w:val="none" w:sz="0" w:space="0" w:color="auto"/>
        <w:bottom w:val="none" w:sz="0" w:space="0" w:color="auto"/>
        <w:right w:val="none" w:sz="0" w:space="0" w:color="auto"/>
      </w:divBdr>
    </w:div>
    <w:div w:id="1168522950">
      <w:bodyDiv w:val="1"/>
      <w:marLeft w:val="0"/>
      <w:marRight w:val="0"/>
      <w:marTop w:val="0"/>
      <w:marBottom w:val="0"/>
      <w:divBdr>
        <w:top w:val="none" w:sz="0" w:space="0" w:color="auto"/>
        <w:left w:val="none" w:sz="0" w:space="0" w:color="auto"/>
        <w:bottom w:val="none" w:sz="0" w:space="0" w:color="auto"/>
        <w:right w:val="none" w:sz="0" w:space="0" w:color="auto"/>
      </w:divBdr>
    </w:div>
    <w:div w:id="1169246599">
      <w:bodyDiv w:val="1"/>
      <w:marLeft w:val="0"/>
      <w:marRight w:val="0"/>
      <w:marTop w:val="0"/>
      <w:marBottom w:val="0"/>
      <w:divBdr>
        <w:top w:val="none" w:sz="0" w:space="0" w:color="auto"/>
        <w:left w:val="none" w:sz="0" w:space="0" w:color="auto"/>
        <w:bottom w:val="none" w:sz="0" w:space="0" w:color="auto"/>
        <w:right w:val="none" w:sz="0" w:space="0" w:color="auto"/>
      </w:divBdr>
    </w:div>
    <w:div w:id="1169753281">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
    <w:div w:id="1177886075">
      <w:bodyDiv w:val="1"/>
      <w:marLeft w:val="0"/>
      <w:marRight w:val="0"/>
      <w:marTop w:val="0"/>
      <w:marBottom w:val="0"/>
      <w:divBdr>
        <w:top w:val="none" w:sz="0" w:space="0" w:color="auto"/>
        <w:left w:val="none" w:sz="0" w:space="0" w:color="auto"/>
        <w:bottom w:val="none" w:sz="0" w:space="0" w:color="auto"/>
        <w:right w:val="none" w:sz="0" w:space="0" w:color="auto"/>
      </w:divBdr>
    </w:div>
    <w:div w:id="1179007764">
      <w:bodyDiv w:val="1"/>
      <w:marLeft w:val="0"/>
      <w:marRight w:val="0"/>
      <w:marTop w:val="0"/>
      <w:marBottom w:val="0"/>
      <w:divBdr>
        <w:top w:val="none" w:sz="0" w:space="0" w:color="auto"/>
        <w:left w:val="none" w:sz="0" w:space="0" w:color="auto"/>
        <w:bottom w:val="none" w:sz="0" w:space="0" w:color="auto"/>
        <w:right w:val="none" w:sz="0" w:space="0" w:color="auto"/>
      </w:divBdr>
    </w:div>
    <w:div w:id="1181629063">
      <w:bodyDiv w:val="1"/>
      <w:marLeft w:val="0"/>
      <w:marRight w:val="0"/>
      <w:marTop w:val="0"/>
      <w:marBottom w:val="0"/>
      <w:divBdr>
        <w:top w:val="none" w:sz="0" w:space="0" w:color="auto"/>
        <w:left w:val="none" w:sz="0" w:space="0" w:color="auto"/>
        <w:bottom w:val="none" w:sz="0" w:space="0" w:color="auto"/>
        <w:right w:val="none" w:sz="0" w:space="0" w:color="auto"/>
      </w:divBdr>
    </w:div>
    <w:div w:id="1186672512">
      <w:bodyDiv w:val="1"/>
      <w:marLeft w:val="0"/>
      <w:marRight w:val="0"/>
      <w:marTop w:val="0"/>
      <w:marBottom w:val="0"/>
      <w:divBdr>
        <w:top w:val="none" w:sz="0" w:space="0" w:color="auto"/>
        <w:left w:val="none" w:sz="0" w:space="0" w:color="auto"/>
        <w:bottom w:val="none" w:sz="0" w:space="0" w:color="auto"/>
        <w:right w:val="none" w:sz="0" w:space="0" w:color="auto"/>
      </w:divBdr>
    </w:div>
    <w:div w:id="1188057240">
      <w:bodyDiv w:val="1"/>
      <w:marLeft w:val="0"/>
      <w:marRight w:val="0"/>
      <w:marTop w:val="0"/>
      <w:marBottom w:val="0"/>
      <w:divBdr>
        <w:top w:val="none" w:sz="0" w:space="0" w:color="auto"/>
        <w:left w:val="none" w:sz="0" w:space="0" w:color="auto"/>
        <w:bottom w:val="none" w:sz="0" w:space="0" w:color="auto"/>
        <w:right w:val="none" w:sz="0" w:space="0" w:color="auto"/>
      </w:divBdr>
    </w:div>
    <w:div w:id="1192961439">
      <w:bodyDiv w:val="1"/>
      <w:marLeft w:val="0"/>
      <w:marRight w:val="0"/>
      <w:marTop w:val="0"/>
      <w:marBottom w:val="0"/>
      <w:divBdr>
        <w:top w:val="none" w:sz="0" w:space="0" w:color="auto"/>
        <w:left w:val="none" w:sz="0" w:space="0" w:color="auto"/>
        <w:bottom w:val="none" w:sz="0" w:space="0" w:color="auto"/>
        <w:right w:val="none" w:sz="0" w:space="0" w:color="auto"/>
      </w:divBdr>
    </w:div>
    <w:div w:id="1197696252">
      <w:bodyDiv w:val="1"/>
      <w:marLeft w:val="0"/>
      <w:marRight w:val="0"/>
      <w:marTop w:val="0"/>
      <w:marBottom w:val="0"/>
      <w:divBdr>
        <w:top w:val="none" w:sz="0" w:space="0" w:color="auto"/>
        <w:left w:val="none" w:sz="0" w:space="0" w:color="auto"/>
        <w:bottom w:val="none" w:sz="0" w:space="0" w:color="auto"/>
        <w:right w:val="none" w:sz="0" w:space="0" w:color="auto"/>
      </w:divBdr>
    </w:div>
    <w:div w:id="1199856376">
      <w:bodyDiv w:val="1"/>
      <w:marLeft w:val="0"/>
      <w:marRight w:val="0"/>
      <w:marTop w:val="0"/>
      <w:marBottom w:val="0"/>
      <w:divBdr>
        <w:top w:val="none" w:sz="0" w:space="0" w:color="auto"/>
        <w:left w:val="none" w:sz="0" w:space="0" w:color="auto"/>
        <w:bottom w:val="none" w:sz="0" w:space="0" w:color="auto"/>
        <w:right w:val="none" w:sz="0" w:space="0" w:color="auto"/>
      </w:divBdr>
    </w:div>
    <w:div w:id="1213275870">
      <w:bodyDiv w:val="1"/>
      <w:marLeft w:val="0"/>
      <w:marRight w:val="0"/>
      <w:marTop w:val="0"/>
      <w:marBottom w:val="0"/>
      <w:divBdr>
        <w:top w:val="none" w:sz="0" w:space="0" w:color="auto"/>
        <w:left w:val="none" w:sz="0" w:space="0" w:color="auto"/>
        <w:bottom w:val="none" w:sz="0" w:space="0" w:color="auto"/>
        <w:right w:val="none" w:sz="0" w:space="0" w:color="auto"/>
      </w:divBdr>
    </w:div>
    <w:div w:id="1216314254">
      <w:bodyDiv w:val="1"/>
      <w:marLeft w:val="0"/>
      <w:marRight w:val="0"/>
      <w:marTop w:val="0"/>
      <w:marBottom w:val="0"/>
      <w:divBdr>
        <w:top w:val="none" w:sz="0" w:space="0" w:color="auto"/>
        <w:left w:val="none" w:sz="0" w:space="0" w:color="auto"/>
        <w:bottom w:val="none" w:sz="0" w:space="0" w:color="auto"/>
        <w:right w:val="none" w:sz="0" w:space="0" w:color="auto"/>
      </w:divBdr>
    </w:div>
    <w:div w:id="1217157932">
      <w:bodyDiv w:val="1"/>
      <w:marLeft w:val="0"/>
      <w:marRight w:val="0"/>
      <w:marTop w:val="0"/>
      <w:marBottom w:val="0"/>
      <w:divBdr>
        <w:top w:val="none" w:sz="0" w:space="0" w:color="auto"/>
        <w:left w:val="none" w:sz="0" w:space="0" w:color="auto"/>
        <w:bottom w:val="none" w:sz="0" w:space="0" w:color="auto"/>
        <w:right w:val="none" w:sz="0" w:space="0" w:color="auto"/>
      </w:divBdr>
    </w:div>
    <w:div w:id="1229146132">
      <w:bodyDiv w:val="1"/>
      <w:marLeft w:val="0"/>
      <w:marRight w:val="0"/>
      <w:marTop w:val="0"/>
      <w:marBottom w:val="0"/>
      <w:divBdr>
        <w:top w:val="none" w:sz="0" w:space="0" w:color="auto"/>
        <w:left w:val="none" w:sz="0" w:space="0" w:color="auto"/>
        <w:bottom w:val="none" w:sz="0" w:space="0" w:color="auto"/>
        <w:right w:val="none" w:sz="0" w:space="0" w:color="auto"/>
      </w:divBdr>
    </w:div>
    <w:div w:id="1235048540">
      <w:bodyDiv w:val="1"/>
      <w:marLeft w:val="0"/>
      <w:marRight w:val="0"/>
      <w:marTop w:val="0"/>
      <w:marBottom w:val="0"/>
      <w:divBdr>
        <w:top w:val="none" w:sz="0" w:space="0" w:color="auto"/>
        <w:left w:val="none" w:sz="0" w:space="0" w:color="auto"/>
        <w:bottom w:val="none" w:sz="0" w:space="0" w:color="auto"/>
        <w:right w:val="none" w:sz="0" w:space="0" w:color="auto"/>
      </w:divBdr>
    </w:div>
    <w:div w:id="1236621853">
      <w:bodyDiv w:val="1"/>
      <w:marLeft w:val="0"/>
      <w:marRight w:val="0"/>
      <w:marTop w:val="0"/>
      <w:marBottom w:val="0"/>
      <w:divBdr>
        <w:top w:val="none" w:sz="0" w:space="0" w:color="auto"/>
        <w:left w:val="none" w:sz="0" w:space="0" w:color="auto"/>
        <w:bottom w:val="none" w:sz="0" w:space="0" w:color="auto"/>
        <w:right w:val="none" w:sz="0" w:space="0" w:color="auto"/>
      </w:divBdr>
    </w:div>
    <w:div w:id="1238975576">
      <w:bodyDiv w:val="1"/>
      <w:marLeft w:val="0"/>
      <w:marRight w:val="0"/>
      <w:marTop w:val="0"/>
      <w:marBottom w:val="0"/>
      <w:divBdr>
        <w:top w:val="none" w:sz="0" w:space="0" w:color="auto"/>
        <w:left w:val="none" w:sz="0" w:space="0" w:color="auto"/>
        <w:bottom w:val="none" w:sz="0" w:space="0" w:color="auto"/>
        <w:right w:val="none" w:sz="0" w:space="0" w:color="auto"/>
      </w:divBdr>
    </w:div>
    <w:div w:id="1239362680">
      <w:bodyDiv w:val="1"/>
      <w:marLeft w:val="0"/>
      <w:marRight w:val="0"/>
      <w:marTop w:val="0"/>
      <w:marBottom w:val="0"/>
      <w:divBdr>
        <w:top w:val="none" w:sz="0" w:space="0" w:color="auto"/>
        <w:left w:val="none" w:sz="0" w:space="0" w:color="auto"/>
        <w:bottom w:val="none" w:sz="0" w:space="0" w:color="auto"/>
        <w:right w:val="none" w:sz="0" w:space="0" w:color="auto"/>
      </w:divBdr>
    </w:div>
    <w:div w:id="1242838260">
      <w:bodyDiv w:val="1"/>
      <w:marLeft w:val="0"/>
      <w:marRight w:val="0"/>
      <w:marTop w:val="0"/>
      <w:marBottom w:val="0"/>
      <w:divBdr>
        <w:top w:val="none" w:sz="0" w:space="0" w:color="auto"/>
        <w:left w:val="none" w:sz="0" w:space="0" w:color="auto"/>
        <w:bottom w:val="none" w:sz="0" w:space="0" w:color="auto"/>
        <w:right w:val="none" w:sz="0" w:space="0" w:color="auto"/>
      </w:divBdr>
    </w:div>
    <w:div w:id="1243875303">
      <w:bodyDiv w:val="1"/>
      <w:marLeft w:val="0"/>
      <w:marRight w:val="0"/>
      <w:marTop w:val="0"/>
      <w:marBottom w:val="0"/>
      <w:divBdr>
        <w:top w:val="none" w:sz="0" w:space="0" w:color="auto"/>
        <w:left w:val="none" w:sz="0" w:space="0" w:color="auto"/>
        <w:bottom w:val="none" w:sz="0" w:space="0" w:color="auto"/>
        <w:right w:val="none" w:sz="0" w:space="0" w:color="auto"/>
      </w:divBdr>
    </w:div>
    <w:div w:id="1245917941">
      <w:bodyDiv w:val="1"/>
      <w:marLeft w:val="0"/>
      <w:marRight w:val="0"/>
      <w:marTop w:val="0"/>
      <w:marBottom w:val="0"/>
      <w:divBdr>
        <w:top w:val="none" w:sz="0" w:space="0" w:color="auto"/>
        <w:left w:val="none" w:sz="0" w:space="0" w:color="auto"/>
        <w:bottom w:val="none" w:sz="0" w:space="0" w:color="auto"/>
        <w:right w:val="none" w:sz="0" w:space="0" w:color="auto"/>
      </w:divBdr>
    </w:div>
    <w:div w:id="1249340298">
      <w:bodyDiv w:val="1"/>
      <w:marLeft w:val="0"/>
      <w:marRight w:val="0"/>
      <w:marTop w:val="0"/>
      <w:marBottom w:val="0"/>
      <w:divBdr>
        <w:top w:val="none" w:sz="0" w:space="0" w:color="auto"/>
        <w:left w:val="none" w:sz="0" w:space="0" w:color="auto"/>
        <w:bottom w:val="none" w:sz="0" w:space="0" w:color="auto"/>
        <w:right w:val="none" w:sz="0" w:space="0" w:color="auto"/>
      </w:divBdr>
    </w:div>
    <w:div w:id="1250044541">
      <w:bodyDiv w:val="1"/>
      <w:marLeft w:val="0"/>
      <w:marRight w:val="0"/>
      <w:marTop w:val="0"/>
      <w:marBottom w:val="0"/>
      <w:divBdr>
        <w:top w:val="none" w:sz="0" w:space="0" w:color="auto"/>
        <w:left w:val="none" w:sz="0" w:space="0" w:color="auto"/>
        <w:bottom w:val="none" w:sz="0" w:space="0" w:color="auto"/>
        <w:right w:val="none" w:sz="0" w:space="0" w:color="auto"/>
      </w:divBdr>
    </w:div>
    <w:div w:id="1263342817">
      <w:bodyDiv w:val="1"/>
      <w:marLeft w:val="0"/>
      <w:marRight w:val="0"/>
      <w:marTop w:val="0"/>
      <w:marBottom w:val="0"/>
      <w:divBdr>
        <w:top w:val="none" w:sz="0" w:space="0" w:color="auto"/>
        <w:left w:val="none" w:sz="0" w:space="0" w:color="auto"/>
        <w:bottom w:val="none" w:sz="0" w:space="0" w:color="auto"/>
        <w:right w:val="none" w:sz="0" w:space="0" w:color="auto"/>
      </w:divBdr>
    </w:div>
    <w:div w:id="1264260869">
      <w:bodyDiv w:val="1"/>
      <w:marLeft w:val="0"/>
      <w:marRight w:val="0"/>
      <w:marTop w:val="0"/>
      <w:marBottom w:val="0"/>
      <w:divBdr>
        <w:top w:val="none" w:sz="0" w:space="0" w:color="auto"/>
        <w:left w:val="none" w:sz="0" w:space="0" w:color="auto"/>
        <w:bottom w:val="none" w:sz="0" w:space="0" w:color="auto"/>
        <w:right w:val="none" w:sz="0" w:space="0" w:color="auto"/>
      </w:divBdr>
    </w:div>
    <w:div w:id="1269508856">
      <w:bodyDiv w:val="1"/>
      <w:marLeft w:val="0"/>
      <w:marRight w:val="0"/>
      <w:marTop w:val="0"/>
      <w:marBottom w:val="0"/>
      <w:divBdr>
        <w:top w:val="none" w:sz="0" w:space="0" w:color="auto"/>
        <w:left w:val="none" w:sz="0" w:space="0" w:color="auto"/>
        <w:bottom w:val="none" w:sz="0" w:space="0" w:color="auto"/>
        <w:right w:val="none" w:sz="0" w:space="0" w:color="auto"/>
      </w:divBdr>
    </w:div>
    <w:div w:id="1272081189">
      <w:bodyDiv w:val="1"/>
      <w:marLeft w:val="0"/>
      <w:marRight w:val="0"/>
      <w:marTop w:val="0"/>
      <w:marBottom w:val="0"/>
      <w:divBdr>
        <w:top w:val="none" w:sz="0" w:space="0" w:color="auto"/>
        <w:left w:val="none" w:sz="0" w:space="0" w:color="auto"/>
        <w:bottom w:val="none" w:sz="0" w:space="0" w:color="auto"/>
        <w:right w:val="none" w:sz="0" w:space="0" w:color="auto"/>
      </w:divBdr>
    </w:div>
    <w:div w:id="1288001721">
      <w:bodyDiv w:val="1"/>
      <w:marLeft w:val="0"/>
      <w:marRight w:val="0"/>
      <w:marTop w:val="0"/>
      <w:marBottom w:val="0"/>
      <w:divBdr>
        <w:top w:val="none" w:sz="0" w:space="0" w:color="auto"/>
        <w:left w:val="none" w:sz="0" w:space="0" w:color="auto"/>
        <w:bottom w:val="none" w:sz="0" w:space="0" w:color="auto"/>
        <w:right w:val="none" w:sz="0" w:space="0" w:color="auto"/>
      </w:divBdr>
    </w:div>
    <w:div w:id="1297376293">
      <w:bodyDiv w:val="1"/>
      <w:marLeft w:val="0"/>
      <w:marRight w:val="0"/>
      <w:marTop w:val="0"/>
      <w:marBottom w:val="0"/>
      <w:divBdr>
        <w:top w:val="none" w:sz="0" w:space="0" w:color="auto"/>
        <w:left w:val="none" w:sz="0" w:space="0" w:color="auto"/>
        <w:bottom w:val="none" w:sz="0" w:space="0" w:color="auto"/>
        <w:right w:val="none" w:sz="0" w:space="0" w:color="auto"/>
      </w:divBdr>
    </w:div>
    <w:div w:id="1300260508">
      <w:bodyDiv w:val="1"/>
      <w:marLeft w:val="0"/>
      <w:marRight w:val="0"/>
      <w:marTop w:val="0"/>
      <w:marBottom w:val="0"/>
      <w:divBdr>
        <w:top w:val="none" w:sz="0" w:space="0" w:color="auto"/>
        <w:left w:val="none" w:sz="0" w:space="0" w:color="auto"/>
        <w:bottom w:val="none" w:sz="0" w:space="0" w:color="auto"/>
        <w:right w:val="none" w:sz="0" w:space="0" w:color="auto"/>
      </w:divBdr>
    </w:div>
    <w:div w:id="1310553827">
      <w:bodyDiv w:val="1"/>
      <w:marLeft w:val="0"/>
      <w:marRight w:val="0"/>
      <w:marTop w:val="0"/>
      <w:marBottom w:val="0"/>
      <w:divBdr>
        <w:top w:val="none" w:sz="0" w:space="0" w:color="auto"/>
        <w:left w:val="none" w:sz="0" w:space="0" w:color="auto"/>
        <w:bottom w:val="none" w:sz="0" w:space="0" w:color="auto"/>
        <w:right w:val="none" w:sz="0" w:space="0" w:color="auto"/>
      </w:divBdr>
    </w:div>
    <w:div w:id="1315573090">
      <w:bodyDiv w:val="1"/>
      <w:marLeft w:val="0"/>
      <w:marRight w:val="0"/>
      <w:marTop w:val="0"/>
      <w:marBottom w:val="0"/>
      <w:divBdr>
        <w:top w:val="none" w:sz="0" w:space="0" w:color="auto"/>
        <w:left w:val="none" w:sz="0" w:space="0" w:color="auto"/>
        <w:bottom w:val="none" w:sz="0" w:space="0" w:color="auto"/>
        <w:right w:val="none" w:sz="0" w:space="0" w:color="auto"/>
      </w:divBdr>
    </w:div>
    <w:div w:id="1316647980">
      <w:bodyDiv w:val="1"/>
      <w:marLeft w:val="0"/>
      <w:marRight w:val="0"/>
      <w:marTop w:val="0"/>
      <w:marBottom w:val="0"/>
      <w:divBdr>
        <w:top w:val="none" w:sz="0" w:space="0" w:color="auto"/>
        <w:left w:val="none" w:sz="0" w:space="0" w:color="auto"/>
        <w:bottom w:val="none" w:sz="0" w:space="0" w:color="auto"/>
        <w:right w:val="none" w:sz="0" w:space="0" w:color="auto"/>
      </w:divBdr>
    </w:div>
    <w:div w:id="1320113915">
      <w:bodyDiv w:val="1"/>
      <w:marLeft w:val="0"/>
      <w:marRight w:val="0"/>
      <w:marTop w:val="0"/>
      <w:marBottom w:val="0"/>
      <w:divBdr>
        <w:top w:val="none" w:sz="0" w:space="0" w:color="auto"/>
        <w:left w:val="none" w:sz="0" w:space="0" w:color="auto"/>
        <w:bottom w:val="none" w:sz="0" w:space="0" w:color="auto"/>
        <w:right w:val="none" w:sz="0" w:space="0" w:color="auto"/>
      </w:divBdr>
    </w:div>
    <w:div w:id="1336225992">
      <w:bodyDiv w:val="1"/>
      <w:marLeft w:val="0"/>
      <w:marRight w:val="0"/>
      <w:marTop w:val="0"/>
      <w:marBottom w:val="0"/>
      <w:divBdr>
        <w:top w:val="none" w:sz="0" w:space="0" w:color="auto"/>
        <w:left w:val="none" w:sz="0" w:space="0" w:color="auto"/>
        <w:bottom w:val="none" w:sz="0" w:space="0" w:color="auto"/>
        <w:right w:val="none" w:sz="0" w:space="0" w:color="auto"/>
      </w:divBdr>
    </w:div>
    <w:div w:id="1336302205">
      <w:bodyDiv w:val="1"/>
      <w:marLeft w:val="0"/>
      <w:marRight w:val="0"/>
      <w:marTop w:val="0"/>
      <w:marBottom w:val="0"/>
      <w:divBdr>
        <w:top w:val="none" w:sz="0" w:space="0" w:color="auto"/>
        <w:left w:val="none" w:sz="0" w:space="0" w:color="auto"/>
        <w:bottom w:val="none" w:sz="0" w:space="0" w:color="auto"/>
        <w:right w:val="none" w:sz="0" w:space="0" w:color="auto"/>
      </w:divBdr>
    </w:div>
    <w:div w:id="1348755909">
      <w:bodyDiv w:val="1"/>
      <w:marLeft w:val="0"/>
      <w:marRight w:val="0"/>
      <w:marTop w:val="0"/>
      <w:marBottom w:val="0"/>
      <w:divBdr>
        <w:top w:val="none" w:sz="0" w:space="0" w:color="auto"/>
        <w:left w:val="none" w:sz="0" w:space="0" w:color="auto"/>
        <w:bottom w:val="none" w:sz="0" w:space="0" w:color="auto"/>
        <w:right w:val="none" w:sz="0" w:space="0" w:color="auto"/>
      </w:divBdr>
    </w:div>
    <w:div w:id="1349913585">
      <w:bodyDiv w:val="1"/>
      <w:marLeft w:val="0"/>
      <w:marRight w:val="0"/>
      <w:marTop w:val="0"/>
      <w:marBottom w:val="0"/>
      <w:divBdr>
        <w:top w:val="none" w:sz="0" w:space="0" w:color="auto"/>
        <w:left w:val="none" w:sz="0" w:space="0" w:color="auto"/>
        <w:bottom w:val="none" w:sz="0" w:space="0" w:color="auto"/>
        <w:right w:val="none" w:sz="0" w:space="0" w:color="auto"/>
      </w:divBdr>
    </w:div>
    <w:div w:id="1355381718">
      <w:bodyDiv w:val="1"/>
      <w:marLeft w:val="0"/>
      <w:marRight w:val="0"/>
      <w:marTop w:val="0"/>
      <w:marBottom w:val="0"/>
      <w:divBdr>
        <w:top w:val="none" w:sz="0" w:space="0" w:color="auto"/>
        <w:left w:val="none" w:sz="0" w:space="0" w:color="auto"/>
        <w:bottom w:val="none" w:sz="0" w:space="0" w:color="auto"/>
        <w:right w:val="none" w:sz="0" w:space="0" w:color="auto"/>
      </w:divBdr>
    </w:div>
    <w:div w:id="1360937752">
      <w:bodyDiv w:val="1"/>
      <w:marLeft w:val="0"/>
      <w:marRight w:val="0"/>
      <w:marTop w:val="0"/>
      <w:marBottom w:val="0"/>
      <w:divBdr>
        <w:top w:val="none" w:sz="0" w:space="0" w:color="auto"/>
        <w:left w:val="none" w:sz="0" w:space="0" w:color="auto"/>
        <w:bottom w:val="none" w:sz="0" w:space="0" w:color="auto"/>
        <w:right w:val="none" w:sz="0" w:space="0" w:color="auto"/>
      </w:divBdr>
    </w:div>
    <w:div w:id="1364402108">
      <w:bodyDiv w:val="1"/>
      <w:marLeft w:val="0"/>
      <w:marRight w:val="0"/>
      <w:marTop w:val="0"/>
      <w:marBottom w:val="0"/>
      <w:divBdr>
        <w:top w:val="none" w:sz="0" w:space="0" w:color="auto"/>
        <w:left w:val="none" w:sz="0" w:space="0" w:color="auto"/>
        <w:bottom w:val="none" w:sz="0" w:space="0" w:color="auto"/>
        <w:right w:val="none" w:sz="0" w:space="0" w:color="auto"/>
      </w:divBdr>
    </w:div>
    <w:div w:id="1371226804">
      <w:bodyDiv w:val="1"/>
      <w:marLeft w:val="0"/>
      <w:marRight w:val="0"/>
      <w:marTop w:val="0"/>
      <w:marBottom w:val="0"/>
      <w:divBdr>
        <w:top w:val="none" w:sz="0" w:space="0" w:color="auto"/>
        <w:left w:val="none" w:sz="0" w:space="0" w:color="auto"/>
        <w:bottom w:val="none" w:sz="0" w:space="0" w:color="auto"/>
        <w:right w:val="none" w:sz="0" w:space="0" w:color="auto"/>
      </w:divBdr>
    </w:div>
    <w:div w:id="1372418668">
      <w:bodyDiv w:val="1"/>
      <w:marLeft w:val="0"/>
      <w:marRight w:val="0"/>
      <w:marTop w:val="0"/>
      <w:marBottom w:val="0"/>
      <w:divBdr>
        <w:top w:val="none" w:sz="0" w:space="0" w:color="auto"/>
        <w:left w:val="none" w:sz="0" w:space="0" w:color="auto"/>
        <w:bottom w:val="none" w:sz="0" w:space="0" w:color="auto"/>
        <w:right w:val="none" w:sz="0" w:space="0" w:color="auto"/>
      </w:divBdr>
    </w:div>
    <w:div w:id="1372532928">
      <w:bodyDiv w:val="1"/>
      <w:marLeft w:val="0"/>
      <w:marRight w:val="0"/>
      <w:marTop w:val="0"/>
      <w:marBottom w:val="0"/>
      <w:divBdr>
        <w:top w:val="none" w:sz="0" w:space="0" w:color="auto"/>
        <w:left w:val="none" w:sz="0" w:space="0" w:color="auto"/>
        <w:bottom w:val="none" w:sz="0" w:space="0" w:color="auto"/>
        <w:right w:val="none" w:sz="0" w:space="0" w:color="auto"/>
      </w:divBdr>
    </w:div>
    <w:div w:id="1374426694">
      <w:bodyDiv w:val="1"/>
      <w:marLeft w:val="0"/>
      <w:marRight w:val="0"/>
      <w:marTop w:val="0"/>
      <w:marBottom w:val="0"/>
      <w:divBdr>
        <w:top w:val="none" w:sz="0" w:space="0" w:color="auto"/>
        <w:left w:val="none" w:sz="0" w:space="0" w:color="auto"/>
        <w:bottom w:val="none" w:sz="0" w:space="0" w:color="auto"/>
        <w:right w:val="none" w:sz="0" w:space="0" w:color="auto"/>
      </w:divBdr>
    </w:div>
    <w:div w:id="1376343847">
      <w:bodyDiv w:val="1"/>
      <w:marLeft w:val="0"/>
      <w:marRight w:val="0"/>
      <w:marTop w:val="0"/>
      <w:marBottom w:val="0"/>
      <w:divBdr>
        <w:top w:val="none" w:sz="0" w:space="0" w:color="auto"/>
        <w:left w:val="none" w:sz="0" w:space="0" w:color="auto"/>
        <w:bottom w:val="none" w:sz="0" w:space="0" w:color="auto"/>
        <w:right w:val="none" w:sz="0" w:space="0" w:color="auto"/>
      </w:divBdr>
    </w:div>
    <w:div w:id="1383554109">
      <w:bodyDiv w:val="1"/>
      <w:marLeft w:val="0"/>
      <w:marRight w:val="0"/>
      <w:marTop w:val="0"/>
      <w:marBottom w:val="0"/>
      <w:divBdr>
        <w:top w:val="none" w:sz="0" w:space="0" w:color="auto"/>
        <w:left w:val="none" w:sz="0" w:space="0" w:color="auto"/>
        <w:bottom w:val="none" w:sz="0" w:space="0" w:color="auto"/>
        <w:right w:val="none" w:sz="0" w:space="0" w:color="auto"/>
      </w:divBdr>
    </w:div>
    <w:div w:id="1386488377">
      <w:bodyDiv w:val="1"/>
      <w:marLeft w:val="0"/>
      <w:marRight w:val="0"/>
      <w:marTop w:val="0"/>
      <w:marBottom w:val="0"/>
      <w:divBdr>
        <w:top w:val="none" w:sz="0" w:space="0" w:color="auto"/>
        <w:left w:val="none" w:sz="0" w:space="0" w:color="auto"/>
        <w:bottom w:val="none" w:sz="0" w:space="0" w:color="auto"/>
        <w:right w:val="none" w:sz="0" w:space="0" w:color="auto"/>
      </w:divBdr>
    </w:div>
    <w:div w:id="1398043066">
      <w:bodyDiv w:val="1"/>
      <w:marLeft w:val="0"/>
      <w:marRight w:val="0"/>
      <w:marTop w:val="0"/>
      <w:marBottom w:val="0"/>
      <w:divBdr>
        <w:top w:val="none" w:sz="0" w:space="0" w:color="auto"/>
        <w:left w:val="none" w:sz="0" w:space="0" w:color="auto"/>
        <w:bottom w:val="none" w:sz="0" w:space="0" w:color="auto"/>
        <w:right w:val="none" w:sz="0" w:space="0" w:color="auto"/>
      </w:divBdr>
    </w:div>
    <w:div w:id="1404178024">
      <w:bodyDiv w:val="1"/>
      <w:marLeft w:val="0"/>
      <w:marRight w:val="0"/>
      <w:marTop w:val="0"/>
      <w:marBottom w:val="0"/>
      <w:divBdr>
        <w:top w:val="none" w:sz="0" w:space="0" w:color="auto"/>
        <w:left w:val="none" w:sz="0" w:space="0" w:color="auto"/>
        <w:bottom w:val="none" w:sz="0" w:space="0" w:color="auto"/>
        <w:right w:val="none" w:sz="0" w:space="0" w:color="auto"/>
      </w:divBdr>
    </w:div>
    <w:div w:id="1410034195">
      <w:bodyDiv w:val="1"/>
      <w:marLeft w:val="0"/>
      <w:marRight w:val="0"/>
      <w:marTop w:val="0"/>
      <w:marBottom w:val="0"/>
      <w:divBdr>
        <w:top w:val="none" w:sz="0" w:space="0" w:color="auto"/>
        <w:left w:val="none" w:sz="0" w:space="0" w:color="auto"/>
        <w:bottom w:val="none" w:sz="0" w:space="0" w:color="auto"/>
        <w:right w:val="none" w:sz="0" w:space="0" w:color="auto"/>
      </w:divBdr>
    </w:div>
    <w:div w:id="1414470045">
      <w:bodyDiv w:val="1"/>
      <w:marLeft w:val="0"/>
      <w:marRight w:val="0"/>
      <w:marTop w:val="0"/>
      <w:marBottom w:val="0"/>
      <w:divBdr>
        <w:top w:val="none" w:sz="0" w:space="0" w:color="auto"/>
        <w:left w:val="none" w:sz="0" w:space="0" w:color="auto"/>
        <w:bottom w:val="none" w:sz="0" w:space="0" w:color="auto"/>
        <w:right w:val="none" w:sz="0" w:space="0" w:color="auto"/>
      </w:divBdr>
    </w:div>
    <w:div w:id="1415325185">
      <w:bodyDiv w:val="1"/>
      <w:marLeft w:val="0"/>
      <w:marRight w:val="0"/>
      <w:marTop w:val="0"/>
      <w:marBottom w:val="0"/>
      <w:divBdr>
        <w:top w:val="none" w:sz="0" w:space="0" w:color="auto"/>
        <w:left w:val="none" w:sz="0" w:space="0" w:color="auto"/>
        <w:bottom w:val="none" w:sz="0" w:space="0" w:color="auto"/>
        <w:right w:val="none" w:sz="0" w:space="0" w:color="auto"/>
      </w:divBdr>
    </w:div>
    <w:div w:id="1416316647">
      <w:bodyDiv w:val="1"/>
      <w:marLeft w:val="0"/>
      <w:marRight w:val="0"/>
      <w:marTop w:val="0"/>
      <w:marBottom w:val="0"/>
      <w:divBdr>
        <w:top w:val="none" w:sz="0" w:space="0" w:color="auto"/>
        <w:left w:val="none" w:sz="0" w:space="0" w:color="auto"/>
        <w:bottom w:val="none" w:sz="0" w:space="0" w:color="auto"/>
        <w:right w:val="none" w:sz="0" w:space="0" w:color="auto"/>
      </w:divBdr>
    </w:div>
    <w:div w:id="1419717389">
      <w:bodyDiv w:val="1"/>
      <w:marLeft w:val="0"/>
      <w:marRight w:val="0"/>
      <w:marTop w:val="0"/>
      <w:marBottom w:val="0"/>
      <w:divBdr>
        <w:top w:val="none" w:sz="0" w:space="0" w:color="auto"/>
        <w:left w:val="none" w:sz="0" w:space="0" w:color="auto"/>
        <w:bottom w:val="none" w:sz="0" w:space="0" w:color="auto"/>
        <w:right w:val="none" w:sz="0" w:space="0" w:color="auto"/>
      </w:divBdr>
    </w:div>
    <w:div w:id="1427651479">
      <w:bodyDiv w:val="1"/>
      <w:marLeft w:val="0"/>
      <w:marRight w:val="0"/>
      <w:marTop w:val="0"/>
      <w:marBottom w:val="0"/>
      <w:divBdr>
        <w:top w:val="none" w:sz="0" w:space="0" w:color="auto"/>
        <w:left w:val="none" w:sz="0" w:space="0" w:color="auto"/>
        <w:bottom w:val="none" w:sz="0" w:space="0" w:color="auto"/>
        <w:right w:val="none" w:sz="0" w:space="0" w:color="auto"/>
      </w:divBdr>
    </w:div>
    <w:div w:id="1430196089">
      <w:bodyDiv w:val="1"/>
      <w:marLeft w:val="0"/>
      <w:marRight w:val="0"/>
      <w:marTop w:val="0"/>
      <w:marBottom w:val="0"/>
      <w:divBdr>
        <w:top w:val="none" w:sz="0" w:space="0" w:color="auto"/>
        <w:left w:val="none" w:sz="0" w:space="0" w:color="auto"/>
        <w:bottom w:val="none" w:sz="0" w:space="0" w:color="auto"/>
        <w:right w:val="none" w:sz="0" w:space="0" w:color="auto"/>
      </w:divBdr>
    </w:div>
    <w:div w:id="1431119148">
      <w:bodyDiv w:val="1"/>
      <w:marLeft w:val="0"/>
      <w:marRight w:val="0"/>
      <w:marTop w:val="0"/>
      <w:marBottom w:val="0"/>
      <w:divBdr>
        <w:top w:val="none" w:sz="0" w:space="0" w:color="auto"/>
        <w:left w:val="none" w:sz="0" w:space="0" w:color="auto"/>
        <w:bottom w:val="none" w:sz="0" w:space="0" w:color="auto"/>
        <w:right w:val="none" w:sz="0" w:space="0" w:color="auto"/>
      </w:divBdr>
    </w:div>
    <w:div w:id="1431663849">
      <w:bodyDiv w:val="1"/>
      <w:marLeft w:val="0"/>
      <w:marRight w:val="0"/>
      <w:marTop w:val="0"/>
      <w:marBottom w:val="0"/>
      <w:divBdr>
        <w:top w:val="none" w:sz="0" w:space="0" w:color="auto"/>
        <w:left w:val="none" w:sz="0" w:space="0" w:color="auto"/>
        <w:bottom w:val="none" w:sz="0" w:space="0" w:color="auto"/>
        <w:right w:val="none" w:sz="0" w:space="0" w:color="auto"/>
      </w:divBdr>
    </w:div>
    <w:div w:id="1436099269">
      <w:bodyDiv w:val="1"/>
      <w:marLeft w:val="0"/>
      <w:marRight w:val="0"/>
      <w:marTop w:val="0"/>
      <w:marBottom w:val="0"/>
      <w:divBdr>
        <w:top w:val="none" w:sz="0" w:space="0" w:color="auto"/>
        <w:left w:val="none" w:sz="0" w:space="0" w:color="auto"/>
        <w:bottom w:val="none" w:sz="0" w:space="0" w:color="auto"/>
        <w:right w:val="none" w:sz="0" w:space="0" w:color="auto"/>
      </w:divBdr>
    </w:div>
    <w:div w:id="1438066727">
      <w:bodyDiv w:val="1"/>
      <w:marLeft w:val="0"/>
      <w:marRight w:val="0"/>
      <w:marTop w:val="0"/>
      <w:marBottom w:val="0"/>
      <w:divBdr>
        <w:top w:val="none" w:sz="0" w:space="0" w:color="auto"/>
        <w:left w:val="none" w:sz="0" w:space="0" w:color="auto"/>
        <w:bottom w:val="none" w:sz="0" w:space="0" w:color="auto"/>
        <w:right w:val="none" w:sz="0" w:space="0" w:color="auto"/>
      </w:divBdr>
    </w:div>
    <w:div w:id="1447695385">
      <w:bodyDiv w:val="1"/>
      <w:marLeft w:val="0"/>
      <w:marRight w:val="0"/>
      <w:marTop w:val="0"/>
      <w:marBottom w:val="0"/>
      <w:divBdr>
        <w:top w:val="none" w:sz="0" w:space="0" w:color="auto"/>
        <w:left w:val="none" w:sz="0" w:space="0" w:color="auto"/>
        <w:bottom w:val="none" w:sz="0" w:space="0" w:color="auto"/>
        <w:right w:val="none" w:sz="0" w:space="0" w:color="auto"/>
      </w:divBdr>
    </w:div>
    <w:div w:id="1450856863">
      <w:bodyDiv w:val="1"/>
      <w:marLeft w:val="0"/>
      <w:marRight w:val="0"/>
      <w:marTop w:val="0"/>
      <w:marBottom w:val="0"/>
      <w:divBdr>
        <w:top w:val="none" w:sz="0" w:space="0" w:color="auto"/>
        <w:left w:val="none" w:sz="0" w:space="0" w:color="auto"/>
        <w:bottom w:val="none" w:sz="0" w:space="0" w:color="auto"/>
        <w:right w:val="none" w:sz="0" w:space="0" w:color="auto"/>
      </w:divBdr>
    </w:div>
    <w:div w:id="1454984658">
      <w:bodyDiv w:val="1"/>
      <w:marLeft w:val="0"/>
      <w:marRight w:val="0"/>
      <w:marTop w:val="0"/>
      <w:marBottom w:val="0"/>
      <w:divBdr>
        <w:top w:val="none" w:sz="0" w:space="0" w:color="auto"/>
        <w:left w:val="none" w:sz="0" w:space="0" w:color="auto"/>
        <w:bottom w:val="none" w:sz="0" w:space="0" w:color="auto"/>
        <w:right w:val="none" w:sz="0" w:space="0" w:color="auto"/>
      </w:divBdr>
    </w:div>
    <w:div w:id="1455245199">
      <w:bodyDiv w:val="1"/>
      <w:marLeft w:val="0"/>
      <w:marRight w:val="0"/>
      <w:marTop w:val="0"/>
      <w:marBottom w:val="0"/>
      <w:divBdr>
        <w:top w:val="none" w:sz="0" w:space="0" w:color="auto"/>
        <w:left w:val="none" w:sz="0" w:space="0" w:color="auto"/>
        <w:bottom w:val="none" w:sz="0" w:space="0" w:color="auto"/>
        <w:right w:val="none" w:sz="0" w:space="0" w:color="auto"/>
      </w:divBdr>
    </w:div>
    <w:div w:id="1463042362">
      <w:bodyDiv w:val="1"/>
      <w:marLeft w:val="0"/>
      <w:marRight w:val="0"/>
      <w:marTop w:val="0"/>
      <w:marBottom w:val="0"/>
      <w:divBdr>
        <w:top w:val="none" w:sz="0" w:space="0" w:color="auto"/>
        <w:left w:val="none" w:sz="0" w:space="0" w:color="auto"/>
        <w:bottom w:val="none" w:sz="0" w:space="0" w:color="auto"/>
        <w:right w:val="none" w:sz="0" w:space="0" w:color="auto"/>
      </w:divBdr>
    </w:div>
    <w:div w:id="1466123509">
      <w:bodyDiv w:val="1"/>
      <w:marLeft w:val="0"/>
      <w:marRight w:val="0"/>
      <w:marTop w:val="0"/>
      <w:marBottom w:val="0"/>
      <w:divBdr>
        <w:top w:val="none" w:sz="0" w:space="0" w:color="auto"/>
        <w:left w:val="none" w:sz="0" w:space="0" w:color="auto"/>
        <w:bottom w:val="none" w:sz="0" w:space="0" w:color="auto"/>
        <w:right w:val="none" w:sz="0" w:space="0" w:color="auto"/>
      </w:divBdr>
    </w:div>
    <w:div w:id="1469782396">
      <w:bodyDiv w:val="1"/>
      <w:marLeft w:val="0"/>
      <w:marRight w:val="0"/>
      <w:marTop w:val="0"/>
      <w:marBottom w:val="0"/>
      <w:divBdr>
        <w:top w:val="none" w:sz="0" w:space="0" w:color="auto"/>
        <w:left w:val="none" w:sz="0" w:space="0" w:color="auto"/>
        <w:bottom w:val="none" w:sz="0" w:space="0" w:color="auto"/>
        <w:right w:val="none" w:sz="0" w:space="0" w:color="auto"/>
      </w:divBdr>
    </w:div>
    <w:div w:id="1472404078">
      <w:bodyDiv w:val="1"/>
      <w:marLeft w:val="0"/>
      <w:marRight w:val="0"/>
      <w:marTop w:val="0"/>
      <w:marBottom w:val="0"/>
      <w:divBdr>
        <w:top w:val="none" w:sz="0" w:space="0" w:color="auto"/>
        <w:left w:val="none" w:sz="0" w:space="0" w:color="auto"/>
        <w:bottom w:val="none" w:sz="0" w:space="0" w:color="auto"/>
        <w:right w:val="none" w:sz="0" w:space="0" w:color="auto"/>
      </w:divBdr>
    </w:div>
    <w:div w:id="1473907507">
      <w:bodyDiv w:val="1"/>
      <w:marLeft w:val="0"/>
      <w:marRight w:val="0"/>
      <w:marTop w:val="0"/>
      <w:marBottom w:val="0"/>
      <w:divBdr>
        <w:top w:val="none" w:sz="0" w:space="0" w:color="auto"/>
        <w:left w:val="none" w:sz="0" w:space="0" w:color="auto"/>
        <w:bottom w:val="none" w:sz="0" w:space="0" w:color="auto"/>
        <w:right w:val="none" w:sz="0" w:space="0" w:color="auto"/>
      </w:divBdr>
    </w:div>
    <w:div w:id="1481464743">
      <w:bodyDiv w:val="1"/>
      <w:marLeft w:val="0"/>
      <w:marRight w:val="0"/>
      <w:marTop w:val="0"/>
      <w:marBottom w:val="0"/>
      <w:divBdr>
        <w:top w:val="none" w:sz="0" w:space="0" w:color="auto"/>
        <w:left w:val="none" w:sz="0" w:space="0" w:color="auto"/>
        <w:bottom w:val="none" w:sz="0" w:space="0" w:color="auto"/>
        <w:right w:val="none" w:sz="0" w:space="0" w:color="auto"/>
      </w:divBdr>
    </w:div>
    <w:div w:id="1485194108">
      <w:bodyDiv w:val="1"/>
      <w:marLeft w:val="0"/>
      <w:marRight w:val="0"/>
      <w:marTop w:val="0"/>
      <w:marBottom w:val="0"/>
      <w:divBdr>
        <w:top w:val="none" w:sz="0" w:space="0" w:color="auto"/>
        <w:left w:val="none" w:sz="0" w:space="0" w:color="auto"/>
        <w:bottom w:val="none" w:sz="0" w:space="0" w:color="auto"/>
        <w:right w:val="none" w:sz="0" w:space="0" w:color="auto"/>
      </w:divBdr>
    </w:div>
    <w:div w:id="1488353344">
      <w:bodyDiv w:val="1"/>
      <w:marLeft w:val="0"/>
      <w:marRight w:val="0"/>
      <w:marTop w:val="0"/>
      <w:marBottom w:val="0"/>
      <w:divBdr>
        <w:top w:val="none" w:sz="0" w:space="0" w:color="auto"/>
        <w:left w:val="none" w:sz="0" w:space="0" w:color="auto"/>
        <w:bottom w:val="none" w:sz="0" w:space="0" w:color="auto"/>
        <w:right w:val="none" w:sz="0" w:space="0" w:color="auto"/>
      </w:divBdr>
    </w:div>
    <w:div w:id="1504472017">
      <w:bodyDiv w:val="1"/>
      <w:marLeft w:val="0"/>
      <w:marRight w:val="0"/>
      <w:marTop w:val="0"/>
      <w:marBottom w:val="0"/>
      <w:divBdr>
        <w:top w:val="none" w:sz="0" w:space="0" w:color="auto"/>
        <w:left w:val="none" w:sz="0" w:space="0" w:color="auto"/>
        <w:bottom w:val="none" w:sz="0" w:space="0" w:color="auto"/>
        <w:right w:val="none" w:sz="0" w:space="0" w:color="auto"/>
      </w:divBdr>
    </w:div>
    <w:div w:id="1506817785">
      <w:bodyDiv w:val="1"/>
      <w:marLeft w:val="0"/>
      <w:marRight w:val="0"/>
      <w:marTop w:val="0"/>
      <w:marBottom w:val="0"/>
      <w:divBdr>
        <w:top w:val="none" w:sz="0" w:space="0" w:color="auto"/>
        <w:left w:val="none" w:sz="0" w:space="0" w:color="auto"/>
        <w:bottom w:val="none" w:sz="0" w:space="0" w:color="auto"/>
        <w:right w:val="none" w:sz="0" w:space="0" w:color="auto"/>
      </w:divBdr>
    </w:div>
    <w:div w:id="1508442978">
      <w:bodyDiv w:val="1"/>
      <w:marLeft w:val="0"/>
      <w:marRight w:val="0"/>
      <w:marTop w:val="0"/>
      <w:marBottom w:val="0"/>
      <w:divBdr>
        <w:top w:val="none" w:sz="0" w:space="0" w:color="auto"/>
        <w:left w:val="none" w:sz="0" w:space="0" w:color="auto"/>
        <w:bottom w:val="none" w:sz="0" w:space="0" w:color="auto"/>
        <w:right w:val="none" w:sz="0" w:space="0" w:color="auto"/>
      </w:divBdr>
    </w:div>
    <w:div w:id="1511067749">
      <w:bodyDiv w:val="1"/>
      <w:marLeft w:val="0"/>
      <w:marRight w:val="0"/>
      <w:marTop w:val="0"/>
      <w:marBottom w:val="0"/>
      <w:divBdr>
        <w:top w:val="none" w:sz="0" w:space="0" w:color="auto"/>
        <w:left w:val="none" w:sz="0" w:space="0" w:color="auto"/>
        <w:bottom w:val="none" w:sz="0" w:space="0" w:color="auto"/>
        <w:right w:val="none" w:sz="0" w:space="0" w:color="auto"/>
      </w:divBdr>
    </w:div>
    <w:div w:id="1515537302">
      <w:bodyDiv w:val="1"/>
      <w:marLeft w:val="0"/>
      <w:marRight w:val="0"/>
      <w:marTop w:val="0"/>
      <w:marBottom w:val="0"/>
      <w:divBdr>
        <w:top w:val="none" w:sz="0" w:space="0" w:color="auto"/>
        <w:left w:val="none" w:sz="0" w:space="0" w:color="auto"/>
        <w:bottom w:val="none" w:sz="0" w:space="0" w:color="auto"/>
        <w:right w:val="none" w:sz="0" w:space="0" w:color="auto"/>
      </w:divBdr>
    </w:div>
    <w:div w:id="1516117338">
      <w:bodyDiv w:val="1"/>
      <w:marLeft w:val="0"/>
      <w:marRight w:val="0"/>
      <w:marTop w:val="0"/>
      <w:marBottom w:val="0"/>
      <w:divBdr>
        <w:top w:val="none" w:sz="0" w:space="0" w:color="auto"/>
        <w:left w:val="none" w:sz="0" w:space="0" w:color="auto"/>
        <w:bottom w:val="none" w:sz="0" w:space="0" w:color="auto"/>
        <w:right w:val="none" w:sz="0" w:space="0" w:color="auto"/>
      </w:divBdr>
    </w:div>
    <w:div w:id="1521044901">
      <w:bodyDiv w:val="1"/>
      <w:marLeft w:val="0"/>
      <w:marRight w:val="0"/>
      <w:marTop w:val="0"/>
      <w:marBottom w:val="0"/>
      <w:divBdr>
        <w:top w:val="none" w:sz="0" w:space="0" w:color="auto"/>
        <w:left w:val="none" w:sz="0" w:space="0" w:color="auto"/>
        <w:bottom w:val="none" w:sz="0" w:space="0" w:color="auto"/>
        <w:right w:val="none" w:sz="0" w:space="0" w:color="auto"/>
      </w:divBdr>
    </w:div>
    <w:div w:id="1536189238">
      <w:bodyDiv w:val="1"/>
      <w:marLeft w:val="0"/>
      <w:marRight w:val="0"/>
      <w:marTop w:val="0"/>
      <w:marBottom w:val="0"/>
      <w:divBdr>
        <w:top w:val="none" w:sz="0" w:space="0" w:color="auto"/>
        <w:left w:val="none" w:sz="0" w:space="0" w:color="auto"/>
        <w:bottom w:val="none" w:sz="0" w:space="0" w:color="auto"/>
        <w:right w:val="none" w:sz="0" w:space="0" w:color="auto"/>
      </w:divBdr>
    </w:div>
    <w:div w:id="1537427723">
      <w:bodyDiv w:val="1"/>
      <w:marLeft w:val="0"/>
      <w:marRight w:val="0"/>
      <w:marTop w:val="0"/>
      <w:marBottom w:val="0"/>
      <w:divBdr>
        <w:top w:val="none" w:sz="0" w:space="0" w:color="auto"/>
        <w:left w:val="none" w:sz="0" w:space="0" w:color="auto"/>
        <w:bottom w:val="none" w:sz="0" w:space="0" w:color="auto"/>
        <w:right w:val="none" w:sz="0" w:space="0" w:color="auto"/>
      </w:divBdr>
    </w:div>
    <w:div w:id="1540823912">
      <w:bodyDiv w:val="1"/>
      <w:marLeft w:val="0"/>
      <w:marRight w:val="0"/>
      <w:marTop w:val="0"/>
      <w:marBottom w:val="0"/>
      <w:divBdr>
        <w:top w:val="none" w:sz="0" w:space="0" w:color="auto"/>
        <w:left w:val="none" w:sz="0" w:space="0" w:color="auto"/>
        <w:bottom w:val="none" w:sz="0" w:space="0" w:color="auto"/>
        <w:right w:val="none" w:sz="0" w:space="0" w:color="auto"/>
      </w:divBdr>
    </w:div>
    <w:div w:id="1549760775">
      <w:bodyDiv w:val="1"/>
      <w:marLeft w:val="0"/>
      <w:marRight w:val="0"/>
      <w:marTop w:val="0"/>
      <w:marBottom w:val="0"/>
      <w:divBdr>
        <w:top w:val="none" w:sz="0" w:space="0" w:color="auto"/>
        <w:left w:val="none" w:sz="0" w:space="0" w:color="auto"/>
        <w:bottom w:val="none" w:sz="0" w:space="0" w:color="auto"/>
        <w:right w:val="none" w:sz="0" w:space="0" w:color="auto"/>
      </w:divBdr>
    </w:div>
    <w:div w:id="1551965124">
      <w:bodyDiv w:val="1"/>
      <w:marLeft w:val="0"/>
      <w:marRight w:val="0"/>
      <w:marTop w:val="0"/>
      <w:marBottom w:val="0"/>
      <w:divBdr>
        <w:top w:val="none" w:sz="0" w:space="0" w:color="auto"/>
        <w:left w:val="none" w:sz="0" w:space="0" w:color="auto"/>
        <w:bottom w:val="none" w:sz="0" w:space="0" w:color="auto"/>
        <w:right w:val="none" w:sz="0" w:space="0" w:color="auto"/>
      </w:divBdr>
    </w:div>
    <w:div w:id="1554778031">
      <w:bodyDiv w:val="1"/>
      <w:marLeft w:val="0"/>
      <w:marRight w:val="0"/>
      <w:marTop w:val="0"/>
      <w:marBottom w:val="0"/>
      <w:divBdr>
        <w:top w:val="none" w:sz="0" w:space="0" w:color="auto"/>
        <w:left w:val="none" w:sz="0" w:space="0" w:color="auto"/>
        <w:bottom w:val="none" w:sz="0" w:space="0" w:color="auto"/>
        <w:right w:val="none" w:sz="0" w:space="0" w:color="auto"/>
      </w:divBdr>
    </w:div>
    <w:div w:id="1554923484">
      <w:bodyDiv w:val="1"/>
      <w:marLeft w:val="0"/>
      <w:marRight w:val="0"/>
      <w:marTop w:val="0"/>
      <w:marBottom w:val="0"/>
      <w:divBdr>
        <w:top w:val="none" w:sz="0" w:space="0" w:color="auto"/>
        <w:left w:val="none" w:sz="0" w:space="0" w:color="auto"/>
        <w:bottom w:val="none" w:sz="0" w:space="0" w:color="auto"/>
        <w:right w:val="none" w:sz="0" w:space="0" w:color="auto"/>
      </w:divBdr>
    </w:div>
    <w:div w:id="1556703155">
      <w:bodyDiv w:val="1"/>
      <w:marLeft w:val="0"/>
      <w:marRight w:val="0"/>
      <w:marTop w:val="0"/>
      <w:marBottom w:val="0"/>
      <w:divBdr>
        <w:top w:val="none" w:sz="0" w:space="0" w:color="auto"/>
        <w:left w:val="none" w:sz="0" w:space="0" w:color="auto"/>
        <w:bottom w:val="none" w:sz="0" w:space="0" w:color="auto"/>
        <w:right w:val="none" w:sz="0" w:space="0" w:color="auto"/>
      </w:divBdr>
    </w:div>
    <w:div w:id="1560751955">
      <w:bodyDiv w:val="1"/>
      <w:marLeft w:val="0"/>
      <w:marRight w:val="0"/>
      <w:marTop w:val="0"/>
      <w:marBottom w:val="0"/>
      <w:divBdr>
        <w:top w:val="none" w:sz="0" w:space="0" w:color="auto"/>
        <w:left w:val="none" w:sz="0" w:space="0" w:color="auto"/>
        <w:bottom w:val="none" w:sz="0" w:space="0" w:color="auto"/>
        <w:right w:val="none" w:sz="0" w:space="0" w:color="auto"/>
      </w:divBdr>
    </w:div>
    <w:div w:id="1565533007">
      <w:bodyDiv w:val="1"/>
      <w:marLeft w:val="0"/>
      <w:marRight w:val="0"/>
      <w:marTop w:val="0"/>
      <w:marBottom w:val="0"/>
      <w:divBdr>
        <w:top w:val="none" w:sz="0" w:space="0" w:color="auto"/>
        <w:left w:val="none" w:sz="0" w:space="0" w:color="auto"/>
        <w:bottom w:val="none" w:sz="0" w:space="0" w:color="auto"/>
        <w:right w:val="none" w:sz="0" w:space="0" w:color="auto"/>
      </w:divBdr>
    </w:div>
    <w:div w:id="1565721438">
      <w:bodyDiv w:val="1"/>
      <w:marLeft w:val="0"/>
      <w:marRight w:val="0"/>
      <w:marTop w:val="0"/>
      <w:marBottom w:val="0"/>
      <w:divBdr>
        <w:top w:val="none" w:sz="0" w:space="0" w:color="auto"/>
        <w:left w:val="none" w:sz="0" w:space="0" w:color="auto"/>
        <w:bottom w:val="none" w:sz="0" w:space="0" w:color="auto"/>
        <w:right w:val="none" w:sz="0" w:space="0" w:color="auto"/>
      </w:divBdr>
    </w:div>
    <w:div w:id="1565872978">
      <w:bodyDiv w:val="1"/>
      <w:marLeft w:val="0"/>
      <w:marRight w:val="0"/>
      <w:marTop w:val="0"/>
      <w:marBottom w:val="0"/>
      <w:divBdr>
        <w:top w:val="none" w:sz="0" w:space="0" w:color="auto"/>
        <w:left w:val="none" w:sz="0" w:space="0" w:color="auto"/>
        <w:bottom w:val="none" w:sz="0" w:space="0" w:color="auto"/>
        <w:right w:val="none" w:sz="0" w:space="0" w:color="auto"/>
      </w:divBdr>
    </w:div>
    <w:div w:id="1569263338">
      <w:bodyDiv w:val="1"/>
      <w:marLeft w:val="0"/>
      <w:marRight w:val="0"/>
      <w:marTop w:val="0"/>
      <w:marBottom w:val="0"/>
      <w:divBdr>
        <w:top w:val="none" w:sz="0" w:space="0" w:color="auto"/>
        <w:left w:val="none" w:sz="0" w:space="0" w:color="auto"/>
        <w:bottom w:val="none" w:sz="0" w:space="0" w:color="auto"/>
        <w:right w:val="none" w:sz="0" w:space="0" w:color="auto"/>
      </w:divBdr>
    </w:div>
    <w:div w:id="1574849510">
      <w:bodyDiv w:val="1"/>
      <w:marLeft w:val="0"/>
      <w:marRight w:val="0"/>
      <w:marTop w:val="0"/>
      <w:marBottom w:val="0"/>
      <w:divBdr>
        <w:top w:val="none" w:sz="0" w:space="0" w:color="auto"/>
        <w:left w:val="none" w:sz="0" w:space="0" w:color="auto"/>
        <w:bottom w:val="none" w:sz="0" w:space="0" w:color="auto"/>
        <w:right w:val="none" w:sz="0" w:space="0" w:color="auto"/>
      </w:divBdr>
    </w:div>
    <w:div w:id="1575821723">
      <w:bodyDiv w:val="1"/>
      <w:marLeft w:val="0"/>
      <w:marRight w:val="0"/>
      <w:marTop w:val="0"/>
      <w:marBottom w:val="0"/>
      <w:divBdr>
        <w:top w:val="none" w:sz="0" w:space="0" w:color="auto"/>
        <w:left w:val="none" w:sz="0" w:space="0" w:color="auto"/>
        <w:bottom w:val="none" w:sz="0" w:space="0" w:color="auto"/>
        <w:right w:val="none" w:sz="0" w:space="0" w:color="auto"/>
      </w:divBdr>
    </w:div>
    <w:div w:id="1591041713">
      <w:bodyDiv w:val="1"/>
      <w:marLeft w:val="0"/>
      <w:marRight w:val="0"/>
      <w:marTop w:val="0"/>
      <w:marBottom w:val="0"/>
      <w:divBdr>
        <w:top w:val="none" w:sz="0" w:space="0" w:color="auto"/>
        <w:left w:val="none" w:sz="0" w:space="0" w:color="auto"/>
        <w:bottom w:val="none" w:sz="0" w:space="0" w:color="auto"/>
        <w:right w:val="none" w:sz="0" w:space="0" w:color="auto"/>
      </w:divBdr>
    </w:div>
    <w:div w:id="1592733976">
      <w:bodyDiv w:val="1"/>
      <w:marLeft w:val="0"/>
      <w:marRight w:val="0"/>
      <w:marTop w:val="0"/>
      <w:marBottom w:val="0"/>
      <w:divBdr>
        <w:top w:val="none" w:sz="0" w:space="0" w:color="auto"/>
        <w:left w:val="none" w:sz="0" w:space="0" w:color="auto"/>
        <w:bottom w:val="none" w:sz="0" w:space="0" w:color="auto"/>
        <w:right w:val="none" w:sz="0" w:space="0" w:color="auto"/>
      </w:divBdr>
    </w:div>
    <w:div w:id="1595354822">
      <w:bodyDiv w:val="1"/>
      <w:marLeft w:val="0"/>
      <w:marRight w:val="0"/>
      <w:marTop w:val="0"/>
      <w:marBottom w:val="0"/>
      <w:divBdr>
        <w:top w:val="none" w:sz="0" w:space="0" w:color="auto"/>
        <w:left w:val="none" w:sz="0" w:space="0" w:color="auto"/>
        <w:bottom w:val="none" w:sz="0" w:space="0" w:color="auto"/>
        <w:right w:val="none" w:sz="0" w:space="0" w:color="auto"/>
      </w:divBdr>
    </w:div>
    <w:div w:id="1595940534">
      <w:bodyDiv w:val="1"/>
      <w:marLeft w:val="0"/>
      <w:marRight w:val="0"/>
      <w:marTop w:val="0"/>
      <w:marBottom w:val="0"/>
      <w:divBdr>
        <w:top w:val="none" w:sz="0" w:space="0" w:color="auto"/>
        <w:left w:val="none" w:sz="0" w:space="0" w:color="auto"/>
        <w:bottom w:val="none" w:sz="0" w:space="0" w:color="auto"/>
        <w:right w:val="none" w:sz="0" w:space="0" w:color="auto"/>
      </w:divBdr>
    </w:div>
    <w:div w:id="1602100446">
      <w:bodyDiv w:val="1"/>
      <w:marLeft w:val="0"/>
      <w:marRight w:val="0"/>
      <w:marTop w:val="0"/>
      <w:marBottom w:val="0"/>
      <w:divBdr>
        <w:top w:val="none" w:sz="0" w:space="0" w:color="auto"/>
        <w:left w:val="none" w:sz="0" w:space="0" w:color="auto"/>
        <w:bottom w:val="none" w:sz="0" w:space="0" w:color="auto"/>
        <w:right w:val="none" w:sz="0" w:space="0" w:color="auto"/>
      </w:divBdr>
    </w:div>
    <w:div w:id="1603100515">
      <w:bodyDiv w:val="1"/>
      <w:marLeft w:val="0"/>
      <w:marRight w:val="0"/>
      <w:marTop w:val="0"/>
      <w:marBottom w:val="0"/>
      <w:divBdr>
        <w:top w:val="none" w:sz="0" w:space="0" w:color="auto"/>
        <w:left w:val="none" w:sz="0" w:space="0" w:color="auto"/>
        <w:bottom w:val="none" w:sz="0" w:space="0" w:color="auto"/>
        <w:right w:val="none" w:sz="0" w:space="0" w:color="auto"/>
      </w:divBdr>
    </w:div>
    <w:div w:id="1603105730">
      <w:bodyDiv w:val="1"/>
      <w:marLeft w:val="0"/>
      <w:marRight w:val="0"/>
      <w:marTop w:val="0"/>
      <w:marBottom w:val="0"/>
      <w:divBdr>
        <w:top w:val="none" w:sz="0" w:space="0" w:color="auto"/>
        <w:left w:val="none" w:sz="0" w:space="0" w:color="auto"/>
        <w:bottom w:val="none" w:sz="0" w:space="0" w:color="auto"/>
        <w:right w:val="none" w:sz="0" w:space="0" w:color="auto"/>
      </w:divBdr>
    </w:div>
    <w:div w:id="1609507566">
      <w:bodyDiv w:val="1"/>
      <w:marLeft w:val="0"/>
      <w:marRight w:val="0"/>
      <w:marTop w:val="0"/>
      <w:marBottom w:val="0"/>
      <w:divBdr>
        <w:top w:val="none" w:sz="0" w:space="0" w:color="auto"/>
        <w:left w:val="none" w:sz="0" w:space="0" w:color="auto"/>
        <w:bottom w:val="none" w:sz="0" w:space="0" w:color="auto"/>
        <w:right w:val="none" w:sz="0" w:space="0" w:color="auto"/>
      </w:divBdr>
    </w:div>
    <w:div w:id="1610694434">
      <w:bodyDiv w:val="1"/>
      <w:marLeft w:val="0"/>
      <w:marRight w:val="0"/>
      <w:marTop w:val="0"/>
      <w:marBottom w:val="0"/>
      <w:divBdr>
        <w:top w:val="none" w:sz="0" w:space="0" w:color="auto"/>
        <w:left w:val="none" w:sz="0" w:space="0" w:color="auto"/>
        <w:bottom w:val="none" w:sz="0" w:space="0" w:color="auto"/>
        <w:right w:val="none" w:sz="0" w:space="0" w:color="auto"/>
      </w:divBdr>
    </w:div>
    <w:div w:id="1612853363">
      <w:bodyDiv w:val="1"/>
      <w:marLeft w:val="0"/>
      <w:marRight w:val="0"/>
      <w:marTop w:val="0"/>
      <w:marBottom w:val="0"/>
      <w:divBdr>
        <w:top w:val="none" w:sz="0" w:space="0" w:color="auto"/>
        <w:left w:val="none" w:sz="0" w:space="0" w:color="auto"/>
        <w:bottom w:val="none" w:sz="0" w:space="0" w:color="auto"/>
        <w:right w:val="none" w:sz="0" w:space="0" w:color="auto"/>
      </w:divBdr>
    </w:div>
    <w:div w:id="1624195488">
      <w:bodyDiv w:val="1"/>
      <w:marLeft w:val="0"/>
      <w:marRight w:val="0"/>
      <w:marTop w:val="0"/>
      <w:marBottom w:val="0"/>
      <w:divBdr>
        <w:top w:val="none" w:sz="0" w:space="0" w:color="auto"/>
        <w:left w:val="none" w:sz="0" w:space="0" w:color="auto"/>
        <w:bottom w:val="none" w:sz="0" w:space="0" w:color="auto"/>
        <w:right w:val="none" w:sz="0" w:space="0" w:color="auto"/>
      </w:divBdr>
    </w:div>
    <w:div w:id="1624581787">
      <w:bodyDiv w:val="1"/>
      <w:marLeft w:val="0"/>
      <w:marRight w:val="0"/>
      <w:marTop w:val="0"/>
      <w:marBottom w:val="0"/>
      <w:divBdr>
        <w:top w:val="none" w:sz="0" w:space="0" w:color="auto"/>
        <w:left w:val="none" w:sz="0" w:space="0" w:color="auto"/>
        <w:bottom w:val="none" w:sz="0" w:space="0" w:color="auto"/>
        <w:right w:val="none" w:sz="0" w:space="0" w:color="auto"/>
      </w:divBdr>
    </w:div>
    <w:div w:id="1630277709">
      <w:bodyDiv w:val="1"/>
      <w:marLeft w:val="0"/>
      <w:marRight w:val="0"/>
      <w:marTop w:val="0"/>
      <w:marBottom w:val="0"/>
      <w:divBdr>
        <w:top w:val="none" w:sz="0" w:space="0" w:color="auto"/>
        <w:left w:val="none" w:sz="0" w:space="0" w:color="auto"/>
        <w:bottom w:val="none" w:sz="0" w:space="0" w:color="auto"/>
        <w:right w:val="none" w:sz="0" w:space="0" w:color="auto"/>
      </w:divBdr>
    </w:div>
    <w:div w:id="1634560166">
      <w:bodyDiv w:val="1"/>
      <w:marLeft w:val="0"/>
      <w:marRight w:val="0"/>
      <w:marTop w:val="0"/>
      <w:marBottom w:val="0"/>
      <w:divBdr>
        <w:top w:val="none" w:sz="0" w:space="0" w:color="auto"/>
        <w:left w:val="none" w:sz="0" w:space="0" w:color="auto"/>
        <w:bottom w:val="none" w:sz="0" w:space="0" w:color="auto"/>
        <w:right w:val="none" w:sz="0" w:space="0" w:color="auto"/>
      </w:divBdr>
    </w:div>
    <w:div w:id="1634749300">
      <w:bodyDiv w:val="1"/>
      <w:marLeft w:val="0"/>
      <w:marRight w:val="0"/>
      <w:marTop w:val="0"/>
      <w:marBottom w:val="0"/>
      <w:divBdr>
        <w:top w:val="none" w:sz="0" w:space="0" w:color="auto"/>
        <w:left w:val="none" w:sz="0" w:space="0" w:color="auto"/>
        <w:bottom w:val="none" w:sz="0" w:space="0" w:color="auto"/>
        <w:right w:val="none" w:sz="0" w:space="0" w:color="auto"/>
      </w:divBdr>
    </w:div>
    <w:div w:id="1635331610">
      <w:bodyDiv w:val="1"/>
      <w:marLeft w:val="0"/>
      <w:marRight w:val="0"/>
      <w:marTop w:val="0"/>
      <w:marBottom w:val="0"/>
      <w:divBdr>
        <w:top w:val="none" w:sz="0" w:space="0" w:color="auto"/>
        <w:left w:val="none" w:sz="0" w:space="0" w:color="auto"/>
        <w:bottom w:val="none" w:sz="0" w:space="0" w:color="auto"/>
        <w:right w:val="none" w:sz="0" w:space="0" w:color="auto"/>
      </w:divBdr>
    </w:div>
    <w:div w:id="1636065414">
      <w:bodyDiv w:val="1"/>
      <w:marLeft w:val="0"/>
      <w:marRight w:val="0"/>
      <w:marTop w:val="0"/>
      <w:marBottom w:val="0"/>
      <w:divBdr>
        <w:top w:val="none" w:sz="0" w:space="0" w:color="auto"/>
        <w:left w:val="none" w:sz="0" w:space="0" w:color="auto"/>
        <w:bottom w:val="none" w:sz="0" w:space="0" w:color="auto"/>
        <w:right w:val="none" w:sz="0" w:space="0" w:color="auto"/>
      </w:divBdr>
    </w:div>
    <w:div w:id="1637222195">
      <w:bodyDiv w:val="1"/>
      <w:marLeft w:val="0"/>
      <w:marRight w:val="0"/>
      <w:marTop w:val="0"/>
      <w:marBottom w:val="0"/>
      <w:divBdr>
        <w:top w:val="none" w:sz="0" w:space="0" w:color="auto"/>
        <w:left w:val="none" w:sz="0" w:space="0" w:color="auto"/>
        <w:bottom w:val="none" w:sz="0" w:space="0" w:color="auto"/>
        <w:right w:val="none" w:sz="0" w:space="0" w:color="auto"/>
      </w:divBdr>
    </w:div>
    <w:div w:id="1637834384">
      <w:bodyDiv w:val="1"/>
      <w:marLeft w:val="0"/>
      <w:marRight w:val="0"/>
      <w:marTop w:val="0"/>
      <w:marBottom w:val="0"/>
      <w:divBdr>
        <w:top w:val="none" w:sz="0" w:space="0" w:color="auto"/>
        <w:left w:val="none" w:sz="0" w:space="0" w:color="auto"/>
        <w:bottom w:val="none" w:sz="0" w:space="0" w:color="auto"/>
        <w:right w:val="none" w:sz="0" w:space="0" w:color="auto"/>
      </w:divBdr>
    </w:div>
    <w:div w:id="1642953326">
      <w:bodyDiv w:val="1"/>
      <w:marLeft w:val="0"/>
      <w:marRight w:val="0"/>
      <w:marTop w:val="0"/>
      <w:marBottom w:val="0"/>
      <w:divBdr>
        <w:top w:val="none" w:sz="0" w:space="0" w:color="auto"/>
        <w:left w:val="none" w:sz="0" w:space="0" w:color="auto"/>
        <w:bottom w:val="none" w:sz="0" w:space="0" w:color="auto"/>
        <w:right w:val="none" w:sz="0" w:space="0" w:color="auto"/>
      </w:divBdr>
    </w:div>
    <w:div w:id="1649439117">
      <w:bodyDiv w:val="1"/>
      <w:marLeft w:val="0"/>
      <w:marRight w:val="0"/>
      <w:marTop w:val="0"/>
      <w:marBottom w:val="0"/>
      <w:divBdr>
        <w:top w:val="none" w:sz="0" w:space="0" w:color="auto"/>
        <w:left w:val="none" w:sz="0" w:space="0" w:color="auto"/>
        <w:bottom w:val="none" w:sz="0" w:space="0" w:color="auto"/>
        <w:right w:val="none" w:sz="0" w:space="0" w:color="auto"/>
      </w:divBdr>
    </w:div>
    <w:div w:id="1650328483">
      <w:bodyDiv w:val="1"/>
      <w:marLeft w:val="0"/>
      <w:marRight w:val="0"/>
      <w:marTop w:val="0"/>
      <w:marBottom w:val="0"/>
      <w:divBdr>
        <w:top w:val="none" w:sz="0" w:space="0" w:color="auto"/>
        <w:left w:val="none" w:sz="0" w:space="0" w:color="auto"/>
        <w:bottom w:val="none" w:sz="0" w:space="0" w:color="auto"/>
        <w:right w:val="none" w:sz="0" w:space="0" w:color="auto"/>
      </w:divBdr>
    </w:div>
    <w:div w:id="1650790459">
      <w:bodyDiv w:val="1"/>
      <w:marLeft w:val="0"/>
      <w:marRight w:val="0"/>
      <w:marTop w:val="0"/>
      <w:marBottom w:val="0"/>
      <w:divBdr>
        <w:top w:val="none" w:sz="0" w:space="0" w:color="auto"/>
        <w:left w:val="none" w:sz="0" w:space="0" w:color="auto"/>
        <w:bottom w:val="none" w:sz="0" w:space="0" w:color="auto"/>
        <w:right w:val="none" w:sz="0" w:space="0" w:color="auto"/>
      </w:divBdr>
    </w:div>
    <w:div w:id="1651204629">
      <w:bodyDiv w:val="1"/>
      <w:marLeft w:val="0"/>
      <w:marRight w:val="0"/>
      <w:marTop w:val="0"/>
      <w:marBottom w:val="0"/>
      <w:divBdr>
        <w:top w:val="none" w:sz="0" w:space="0" w:color="auto"/>
        <w:left w:val="none" w:sz="0" w:space="0" w:color="auto"/>
        <w:bottom w:val="none" w:sz="0" w:space="0" w:color="auto"/>
        <w:right w:val="none" w:sz="0" w:space="0" w:color="auto"/>
      </w:divBdr>
    </w:div>
    <w:div w:id="1653562969">
      <w:bodyDiv w:val="1"/>
      <w:marLeft w:val="0"/>
      <w:marRight w:val="0"/>
      <w:marTop w:val="0"/>
      <w:marBottom w:val="0"/>
      <w:divBdr>
        <w:top w:val="none" w:sz="0" w:space="0" w:color="auto"/>
        <w:left w:val="none" w:sz="0" w:space="0" w:color="auto"/>
        <w:bottom w:val="none" w:sz="0" w:space="0" w:color="auto"/>
        <w:right w:val="none" w:sz="0" w:space="0" w:color="auto"/>
      </w:divBdr>
    </w:div>
    <w:div w:id="1659462471">
      <w:bodyDiv w:val="1"/>
      <w:marLeft w:val="0"/>
      <w:marRight w:val="0"/>
      <w:marTop w:val="0"/>
      <w:marBottom w:val="0"/>
      <w:divBdr>
        <w:top w:val="none" w:sz="0" w:space="0" w:color="auto"/>
        <w:left w:val="none" w:sz="0" w:space="0" w:color="auto"/>
        <w:bottom w:val="none" w:sz="0" w:space="0" w:color="auto"/>
        <w:right w:val="none" w:sz="0" w:space="0" w:color="auto"/>
      </w:divBdr>
    </w:div>
    <w:div w:id="1661232449">
      <w:bodyDiv w:val="1"/>
      <w:marLeft w:val="0"/>
      <w:marRight w:val="0"/>
      <w:marTop w:val="0"/>
      <w:marBottom w:val="0"/>
      <w:divBdr>
        <w:top w:val="none" w:sz="0" w:space="0" w:color="auto"/>
        <w:left w:val="none" w:sz="0" w:space="0" w:color="auto"/>
        <w:bottom w:val="none" w:sz="0" w:space="0" w:color="auto"/>
        <w:right w:val="none" w:sz="0" w:space="0" w:color="auto"/>
      </w:divBdr>
    </w:div>
    <w:div w:id="1662656903">
      <w:bodyDiv w:val="1"/>
      <w:marLeft w:val="0"/>
      <w:marRight w:val="0"/>
      <w:marTop w:val="0"/>
      <w:marBottom w:val="0"/>
      <w:divBdr>
        <w:top w:val="none" w:sz="0" w:space="0" w:color="auto"/>
        <w:left w:val="none" w:sz="0" w:space="0" w:color="auto"/>
        <w:bottom w:val="none" w:sz="0" w:space="0" w:color="auto"/>
        <w:right w:val="none" w:sz="0" w:space="0" w:color="auto"/>
      </w:divBdr>
    </w:div>
    <w:div w:id="1664157626">
      <w:bodyDiv w:val="1"/>
      <w:marLeft w:val="0"/>
      <w:marRight w:val="0"/>
      <w:marTop w:val="0"/>
      <w:marBottom w:val="0"/>
      <w:divBdr>
        <w:top w:val="none" w:sz="0" w:space="0" w:color="auto"/>
        <w:left w:val="none" w:sz="0" w:space="0" w:color="auto"/>
        <w:bottom w:val="none" w:sz="0" w:space="0" w:color="auto"/>
        <w:right w:val="none" w:sz="0" w:space="0" w:color="auto"/>
      </w:divBdr>
    </w:div>
    <w:div w:id="1669744628">
      <w:bodyDiv w:val="1"/>
      <w:marLeft w:val="0"/>
      <w:marRight w:val="0"/>
      <w:marTop w:val="0"/>
      <w:marBottom w:val="0"/>
      <w:divBdr>
        <w:top w:val="none" w:sz="0" w:space="0" w:color="auto"/>
        <w:left w:val="none" w:sz="0" w:space="0" w:color="auto"/>
        <w:bottom w:val="none" w:sz="0" w:space="0" w:color="auto"/>
        <w:right w:val="none" w:sz="0" w:space="0" w:color="auto"/>
      </w:divBdr>
    </w:div>
    <w:div w:id="1677878121">
      <w:bodyDiv w:val="1"/>
      <w:marLeft w:val="0"/>
      <w:marRight w:val="0"/>
      <w:marTop w:val="0"/>
      <w:marBottom w:val="0"/>
      <w:divBdr>
        <w:top w:val="none" w:sz="0" w:space="0" w:color="auto"/>
        <w:left w:val="none" w:sz="0" w:space="0" w:color="auto"/>
        <w:bottom w:val="none" w:sz="0" w:space="0" w:color="auto"/>
        <w:right w:val="none" w:sz="0" w:space="0" w:color="auto"/>
      </w:divBdr>
    </w:div>
    <w:div w:id="1683050434">
      <w:bodyDiv w:val="1"/>
      <w:marLeft w:val="0"/>
      <w:marRight w:val="0"/>
      <w:marTop w:val="0"/>
      <w:marBottom w:val="0"/>
      <w:divBdr>
        <w:top w:val="none" w:sz="0" w:space="0" w:color="auto"/>
        <w:left w:val="none" w:sz="0" w:space="0" w:color="auto"/>
        <w:bottom w:val="none" w:sz="0" w:space="0" w:color="auto"/>
        <w:right w:val="none" w:sz="0" w:space="0" w:color="auto"/>
      </w:divBdr>
    </w:div>
    <w:div w:id="1683583514">
      <w:bodyDiv w:val="1"/>
      <w:marLeft w:val="0"/>
      <w:marRight w:val="0"/>
      <w:marTop w:val="0"/>
      <w:marBottom w:val="0"/>
      <w:divBdr>
        <w:top w:val="none" w:sz="0" w:space="0" w:color="auto"/>
        <w:left w:val="none" w:sz="0" w:space="0" w:color="auto"/>
        <w:bottom w:val="none" w:sz="0" w:space="0" w:color="auto"/>
        <w:right w:val="none" w:sz="0" w:space="0" w:color="auto"/>
      </w:divBdr>
    </w:div>
    <w:div w:id="1683967329">
      <w:bodyDiv w:val="1"/>
      <w:marLeft w:val="0"/>
      <w:marRight w:val="0"/>
      <w:marTop w:val="0"/>
      <w:marBottom w:val="0"/>
      <w:divBdr>
        <w:top w:val="none" w:sz="0" w:space="0" w:color="auto"/>
        <w:left w:val="none" w:sz="0" w:space="0" w:color="auto"/>
        <w:bottom w:val="none" w:sz="0" w:space="0" w:color="auto"/>
        <w:right w:val="none" w:sz="0" w:space="0" w:color="auto"/>
      </w:divBdr>
    </w:div>
    <w:div w:id="1685092389">
      <w:bodyDiv w:val="1"/>
      <w:marLeft w:val="0"/>
      <w:marRight w:val="0"/>
      <w:marTop w:val="0"/>
      <w:marBottom w:val="0"/>
      <w:divBdr>
        <w:top w:val="none" w:sz="0" w:space="0" w:color="auto"/>
        <w:left w:val="none" w:sz="0" w:space="0" w:color="auto"/>
        <w:bottom w:val="none" w:sz="0" w:space="0" w:color="auto"/>
        <w:right w:val="none" w:sz="0" w:space="0" w:color="auto"/>
      </w:divBdr>
    </w:div>
    <w:div w:id="1696227319">
      <w:bodyDiv w:val="1"/>
      <w:marLeft w:val="0"/>
      <w:marRight w:val="0"/>
      <w:marTop w:val="0"/>
      <w:marBottom w:val="0"/>
      <w:divBdr>
        <w:top w:val="none" w:sz="0" w:space="0" w:color="auto"/>
        <w:left w:val="none" w:sz="0" w:space="0" w:color="auto"/>
        <w:bottom w:val="none" w:sz="0" w:space="0" w:color="auto"/>
        <w:right w:val="none" w:sz="0" w:space="0" w:color="auto"/>
      </w:divBdr>
    </w:div>
    <w:div w:id="1696342886">
      <w:bodyDiv w:val="1"/>
      <w:marLeft w:val="0"/>
      <w:marRight w:val="0"/>
      <w:marTop w:val="0"/>
      <w:marBottom w:val="0"/>
      <w:divBdr>
        <w:top w:val="none" w:sz="0" w:space="0" w:color="auto"/>
        <w:left w:val="none" w:sz="0" w:space="0" w:color="auto"/>
        <w:bottom w:val="none" w:sz="0" w:space="0" w:color="auto"/>
        <w:right w:val="none" w:sz="0" w:space="0" w:color="auto"/>
      </w:divBdr>
    </w:div>
    <w:div w:id="1699157806">
      <w:bodyDiv w:val="1"/>
      <w:marLeft w:val="0"/>
      <w:marRight w:val="0"/>
      <w:marTop w:val="0"/>
      <w:marBottom w:val="0"/>
      <w:divBdr>
        <w:top w:val="none" w:sz="0" w:space="0" w:color="auto"/>
        <w:left w:val="none" w:sz="0" w:space="0" w:color="auto"/>
        <w:bottom w:val="none" w:sz="0" w:space="0" w:color="auto"/>
        <w:right w:val="none" w:sz="0" w:space="0" w:color="auto"/>
      </w:divBdr>
    </w:div>
    <w:div w:id="1704987354">
      <w:bodyDiv w:val="1"/>
      <w:marLeft w:val="0"/>
      <w:marRight w:val="0"/>
      <w:marTop w:val="0"/>
      <w:marBottom w:val="0"/>
      <w:divBdr>
        <w:top w:val="none" w:sz="0" w:space="0" w:color="auto"/>
        <w:left w:val="none" w:sz="0" w:space="0" w:color="auto"/>
        <w:bottom w:val="none" w:sz="0" w:space="0" w:color="auto"/>
        <w:right w:val="none" w:sz="0" w:space="0" w:color="auto"/>
      </w:divBdr>
    </w:div>
    <w:div w:id="1705130782">
      <w:bodyDiv w:val="1"/>
      <w:marLeft w:val="0"/>
      <w:marRight w:val="0"/>
      <w:marTop w:val="0"/>
      <w:marBottom w:val="0"/>
      <w:divBdr>
        <w:top w:val="none" w:sz="0" w:space="0" w:color="auto"/>
        <w:left w:val="none" w:sz="0" w:space="0" w:color="auto"/>
        <w:bottom w:val="none" w:sz="0" w:space="0" w:color="auto"/>
        <w:right w:val="none" w:sz="0" w:space="0" w:color="auto"/>
      </w:divBdr>
    </w:div>
    <w:div w:id="1705714111">
      <w:bodyDiv w:val="1"/>
      <w:marLeft w:val="0"/>
      <w:marRight w:val="0"/>
      <w:marTop w:val="0"/>
      <w:marBottom w:val="0"/>
      <w:divBdr>
        <w:top w:val="none" w:sz="0" w:space="0" w:color="auto"/>
        <w:left w:val="none" w:sz="0" w:space="0" w:color="auto"/>
        <w:bottom w:val="none" w:sz="0" w:space="0" w:color="auto"/>
        <w:right w:val="none" w:sz="0" w:space="0" w:color="auto"/>
      </w:divBdr>
    </w:div>
    <w:div w:id="1706976802">
      <w:bodyDiv w:val="1"/>
      <w:marLeft w:val="0"/>
      <w:marRight w:val="0"/>
      <w:marTop w:val="0"/>
      <w:marBottom w:val="0"/>
      <w:divBdr>
        <w:top w:val="none" w:sz="0" w:space="0" w:color="auto"/>
        <w:left w:val="none" w:sz="0" w:space="0" w:color="auto"/>
        <w:bottom w:val="none" w:sz="0" w:space="0" w:color="auto"/>
        <w:right w:val="none" w:sz="0" w:space="0" w:color="auto"/>
      </w:divBdr>
    </w:div>
    <w:div w:id="1707095659">
      <w:bodyDiv w:val="1"/>
      <w:marLeft w:val="0"/>
      <w:marRight w:val="0"/>
      <w:marTop w:val="0"/>
      <w:marBottom w:val="0"/>
      <w:divBdr>
        <w:top w:val="none" w:sz="0" w:space="0" w:color="auto"/>
        <w:left w:val="none" w:sz="0" w:space="0" w:color="auto"/>
        <w:bottom w:val="none" w:sz="0" w:space="0" w:color="auto"/>
        <w:right w:val="none" w:sz="0" w:space="0" w:color="auto"/>
      </w:divBdr>
    </w:div>
    <w:div w:id="1718312452">
      <w:bodyDiv w:val="1"/>
      <w:marLeft w:val="0"/>
      <w:marRight w:val="0"/>
      <w:marTop w:val="0"/>
      <w:marBottom w:val="0"/>
      <w:divBdr>
        <w:top w:val="none" w:sz="0" w:space="0" w:color="auto"/>
        <w:left w:val="none" w:sz="0" w:space="0" w:color="auto"/>
        <w:bottom w:val="none" w:sz="0" w:space="0" w:color="auto"/>
        <w:right w:val="none" w:sz="0" w:space="0" w:color="auto"/>
      </w:divBdr>
    </w:div>
    <w:div w:id="1719553153">
      <w:bodyDiv w:val="1"/>
      <w:marLeft w:val="0"/>
      <w:marRight w:val="0"/>
      <w:marTop w:val="0"/>
      <w:marBottom w:val="0"/>
      <w:divBdr>
        <w:top w:val="none" w:sz="0" w:space="0" w:color="auto"/>
        <w:left w:val="none" w:sz="0" w:space="0" w:color="auto"/>
        <w:bottom w:val="none" w:sz="0" w:space="0" w:color="auto"/>
        <w:right w:val="none" w:sz="0" w:space="0" w:color="auto"/>
      </w:divBdr>
    </w:div>
    <w:div w:id="1722287099">
      <w:bodyDiv w:val="1"/>
      <w:marLeft w:val="0"/>
      <w:marRight w:val="0"/>
      <w:marTop w:val="0"/>
      <w:marBottom w:val="0"/>
      <w:divBdr>
        <w:top w:val="none" w:sz="0" w:space="0" w:color="auto"/>
        <w:left w:val="none" w:sz="0" w:space="0" w:color="auto"/>
        <w:bottom w:val="none" w:sz="0" w:space="0" w:color="auto"/>
        <w:right w:val="none" w:sz="0" w:space="0" w:color="auto"/>
      </w:divBdr>
    </w:div>
    <w:div w:id="1722748661">
      <w:bodyDiv w:val="1"/>
      <w:marLeft w:val="0"/>
      <w:marRight w:val="0"/>
      <w:marTop w:val="0"/>
      <w:marBottom w:val="0"/>
      <w:divBdr>
        <w:top w:val="none" w:sz="0" w:space="0" w:color="auto"/>
        <w:left w:val="none" w:sz="0" w:space="0" w:color="auto"/>
        <w:bottom w:val="none" w:sz="0" w:space="0" w:color="auto"/>
        <w:right w:val="none" w:sz="0" w:space="0" w:color="auto"/>
      </w:divBdr>
    </w:div>
    <w:div w:id="1729841901">
      <w:bodyDiv w:val="1"/>
      <w:marLeft w:val="0"/>
      <w:marRight w:val="0"/>
      <w:marTop w:val="0"/>
      <w:marBottom w:val="0"/>
      <w:divBdr>
        <w:top w:val="none" w:sz="0" w:space="0" w:color="auto"/>
        <w:left w:val="none" w:sz="0" w:space="0" w:color="auto"/>
        <w:bottom w:val="none" w:sz="0" w:space="0" w:color="auto"/>
        <w:right w:val="none" w:sz="0" w:space="0" w:color="auto"/>
      </w:divBdr>
    </w:div>
    <w:div w:id="1739667430">
      <w:bodyDiv w:val="1"/>
      <w:marLeft w:val="0"/>
      <w:marRight w:val="0"/>
      <w:marTop w:val="0"/>
      <w:marBottom w:val="0"/>
      <w:divBdr>
        <w:top w:val="none" w:sz="0" w:space="0" w:color="auto"/>
        <w:left w:val="none" w:sz="0" w:space="0" w:color="auto"/>
        <w:bottom w:val="none" w:sz="0" w:space="0" w:color="auto"/>
        <w:right w:val="none" w:sz="0" w:space="0" w:color="auto"/>
      </w:divBdr>
    </w:div>
    <w:div w:id="1750032028">
      <w:bodyDiv w:val="1"/>
      <w:marLeft w:val="0"/>
      <w:marRight w:val="0"/>
      <w:marTop w:val="0"/>
      <w:marBottom w:val="0"/>
      <w:divBdr>
        <w:top w:val="none" w:sz="0" w:space="0" w:color="auto"/>
        <w:left w:val="none" w:sz="0" w:space="0" w:color="auto"/>
        <w:bottom w:val="none" w:sz="0" w:space="0" w:color="auto"/>
        <w:right w:val="none" w:sz="0" w:space="0" w:color="auto"/>
      </w:divBdr>
    </w:div>
    <w:div w:id="1764300646">
      <w:bodyDiv w:val="1"/>
      <w:marLeft w:val="0"/>
      <w:marRight w:val="0"/>
      <w:marTop w:val="0"/>
      <w:marBottom w:val="0"/>
      <w:divBdr>
        <w:top w:val="none" w:sz="0" w:space="0" w:color="auto"/>
        <w:left w:val="none" w:sz="0" w:space="0" w:color="auto"/>
        <w:bottom w:val="none" w:sz="0" w:space="0" w:color="auto"/>
        <w:right w:val="none" w:sz="0" w:space="0" w:color="auto"/>
      </w:divBdr>
    </w:div>
    <w:div w:id="1765760328">
      <w:bodyDiv w:val="1"/>
      <w:marLeft w:val="0"/>
      <w:marRight w:val="0"/>
      <w:marTop w:val="0"/>
      <w:marBottom w:val="0"/>
      <w:divBdr>
        <w:top w:val="none" w:sz="0" w:space="0" w:color="auto"/>
        <w:left w:val="none" w:sz="0" w:space="0" w:color="auto"/>
        <w:bottom w:val="none" w:sz="0" w:space="0" w:color="auto"/>
        <w:right w:val="none" w:sz="0" w:space="0" w:color="auto"/>
      </w:divBdr>
    </w:div>
    <w:div w:id="1770852991">
      <w:bodyDiv w:val="1"/>
      <w:marLeft w:val="0"/>
      <w:marRight w:val="0"/>
      <w:marTop w:val="0"/>
      <w:marBottom w:val="0"/>
      <w:divBdr>
        <w:top w:val="none" w:sz="0" w:space="0" w:color="auto"/>
        <w:left w:val="none" w:sz="0" w:space="0" w:color="auto"/>
        <w:bottom w:val="none" w:sz="0" w:space="0" w:color="auto"/>
        <w:right w:val="none" w:sz="0" w:space="0" w:color="auto"/>
      </w:divBdr>
    </w:div>
    <w:div w:id="1771394397">
      <w:bodyDiv w:val="1"/>
      <w:marLeft w:val="0"/>
      <w:marRight w:val="0"/>
      <w:marTop w:val="0"/>
      <w:marBottom w:val="0"/>
      <w:divBdr>
        <w:top w:val="none" w:sz="0" w:space="0" w:color="auto"/>
        <w:left w:val="none" w:sz="0" w:space="0" w:color="auto"/>
        <w:bottom w:val="none" w:sz="0" w:space="0" w:color="auto"/>
        <w:right w:val="none" w:sz="0" w:space="0" w:color="auto"/>
      </w:divBdr>
    </w:div>
    <w:div w:id="1774745945">
      <w:bodyDiv w:val="1"/>
      <w:marLeft w:val="0"/>
      <w:marRight w:val="0"/>
      <w:marTop w:val="0"/>
      <w:marBottom w:val="0"/>
      <w:divBdr>
        <w:top w:val="none" w:sz="0" w:space="0" w:color="auto"/>
        <w:left w:val="none" w:sz="0" w:space="0" w:color="auto"/>
        <w:bottom w:val="none" w:sz="0" w:space="0" w:color="auto"/>
        <w:right w:val="none" w:sz="0" w:space="0" w:color="auto"/>
      </w:divBdr>
    </w:div>
    <w:div w:id="1781487752">
      <w:bodyDiv w:val="1"/>
      <w:marLeft w:val="0"/>
      <w:marRight w:val="0"/>
      <w:marTop w:val="0"/>
      <w:marBottom w:val="0"/>
      <w:divBdr>
        <w:top w:val="none" w:sz="0" w:space="0" w:color="auto"/>
        <w:left w:val="none" w:sz="0" w:space="0" w:color="auto"/>
        <w:bottom w:val="none" w:sz="0" w:space="0" w:color="auto"/>
        <w:right w:val="none" w:sz="0" w:space="0" w:color="auto"/>
      </w:divBdr>
    </w:div>
    <w:div w:id="1785608440">
      <w:bodyDiv w:val="1"/>
      <w:marLeft w:val="0"/>
      <w:marRight w:val="0"/>
      <w:marTop w:val="0"/>
      <w:marBottom w:val="0"/>
      <w:divBdr>
        <w:top w:val="none" w:sz="0" w:space="0" w:color="auto"/>
        <w:left w:val="none" w:sz="0" w:space="0" w:color="auto"/>
        <w:bottom w:val="none" w:sz="0" w:space="0" w:color="auto"/>
        <w:right w:val="none" w:sz="0" w:space="0" w:color="auto"/>
      </w:divBdr>
    </w:div>
    <w:div w:id="1791508282">
      <w:bodyDiv w:val="1"/>
      <w:marLeft w:val="0"/>
      <w:marRight w:val="0"/>
      <w:marTop w:val="0"/>
      <w:marBottom w:val="0"/>
      <w:divBdr>
        <w:top w:val="none" w:sz="0" w:space="0" w:color="auto"/>
        <w:left w:val="none" w:sz="0" w:space="0" w:color="auto"/>
        <w:bottom w:val="none" w:sz="0" w:space="0" w:color="auto"/>
        <w:right w:val="none" w:sz="0" w:space="0" w:color="auto"/>
      </w:divBdr>
    </w:div>
    <w:div w:id="1793401913">
      <w:bodyDiv w:val="1"/>
      <w:marLeft w:val="0"/>
      <w:marRight w:val="0"/>
      <w:marTop w:val="0"/>
      <w:marBottom w:val="0"/>
      <w:divBdr>
        <w:top w:val="none" w:sz="0" w:space="0" w:color="auto"/>
        <w:left w:val="none" w:sz="0" w:space="0" w:color="auto"/>
        <w:bottom w:val="none" w:sz="0" w:space="0" w:color="auto"/>
        <w:right w:val="none" w:sz="0" w:space="0" w:color="auto"/>
      </w:divBdr>
    </w:div>
    <w:div w:id="1794135855">
      <w:bodyDiv w:val="1"/>
      <w:marLeft w:val="0"/>
      <w:marRight w:val="0"/>
      <w:marTop w:val="0"/>
      <w:marBottom w:val="0"/>
      <w:divBdr>
        <w:top w:val="none" w:sz="0" w:space="0" w:color="auto"/>
        <w:left w:val="none" w:sz="0" w:space="0" w:color="auto"/>
        <w:bottom w:val="none" w:sz="0" w:space="0" w:color="auto"/>
        <w:right w:val="none" w:sz="0" w:space="0" w:color="auto"/>
      </w:divBdr>
    </w:div>
    <w:div w:id="1796212877">
      <w:bodyDiv w:val="1"/>
      <w:marLeft w:val="0"/>
      <w:marRight w:val="0"/>
      <w:marTop w:val="0"/>
      <w:marBottom w:val="0"/>
      <w:divBdr>
        <w:top w:val="none" w:sz="0" w:space="0" w:color="auto"/>
        <w:left w:val="none" w:sz="0" w:space="0" w:color="auto"/>
        <w:bottom w:val="none" w:sz="0" w:space="0" w:color="auto"/>
        <w:right w:val="none" w:sz="0" w:space="0" w:color="auto"/>
      </w:divBdr>
    </w:div>
    <w:div w:id="1803616811">
      <w:bodyDiv w:val="1"/>
      <w:marLeft w:val="0"/>
      <w:marRight w:val="0"/>
      <w:marTop w:val="0"/>
      <w:marBottom w:val="0"/>
      <w:divBdr>
        <w:top w:val="none" w:sz="0" w:space="0" w:color="auto"/>
        <w:left w:val="none" w:sz="0" w:space="0" w:color="auto"/>
        <w:bottom w:val="none" w:sz="0" w:space="0" w:color="auto"/>
        <w:right w:val="none" w:sz="0" w:space="0" w:color="auto"/>
      </w:divBdr>
    </w:div>
    <w:div w:id="1803813357">
      <w:bodyDiv w:val="1"/>
      <w:marLeft w:val="0"/>
      <w:marRight w:val="0"/>
      <w:marTop w:val="0"/>
      <w:marBottom w:val="0"/>
      <w:divBdr>
        <w:top w:val="none" w:sz="0" w:space="0" w:color="auto"/>
        <w:left w:val="none" w:sz="0" w:space="0" w:color="auto"/>
        <w:bottom w:val="none" w:sz="0" w:space="0" w:color="auto"/>
        <w:right w:val="none" w:sz="0" w:space="0" w:color="auto"/>
      </w:divBdr>
    </w:div>
    <w:div w:id="1806265997">
      <w:bodyDiv w:val="1"/>
      <w:marLeft w:val="0"/>
      <w:marRight w:val="0"/>
      <w:marTop w:val="0"/>
      <w:marBottom w:val="0"/>
      <w:divBdr>
        <w:top w:val="none" w:sz="0" w:space="0" w:color="auto"/>
        <w:left w:val="none" w:sz="0" w:space="0" w:color="auto"/>
        <w:bottom w:val="none" w:sz="0" w:space="0" w:color="auto"/>
        <w:right w:val="none" w:sz="0" w:space="0" w:color="auto"/>
      </w:divBdr>
    </w:div>
    <w:div w:id="1820682260">
      <w:bodyDiv w:val="1"/>
      <w:marLeft w:val="0"/>
      <w:marRight w:val="0"/>
      <w:marTop w:val="0"/>
      <w:marBottom w:val="0"/>
      <w:divBdr>
        <w:top w:val="none" w:sz="0" w:space="0" w:color="auto"/>
        <w:left w:val="none" w:sz="0" w:space="0" w:color="auto"/>
        <w:bottom w:val="none" w:sz="0" w:space="0" w:color="auto"/>
        <w:right w:val="none" w:sz="0" w:space="0" w:color="auto"/>
      </w:divBdr>
    </w:div>
    <w:div w:id="1829010239">
      <w:bodyDiv w:val="1"/>
      <w:marLeft w:val="0"/>
      <w:marRight w:val="0"/>
      <w:marTop w:val="0"/>
      <w:marBottom w:val="0"/>
      <w:divBdr>
        <w:top w:val="none" w:sz="0" w:space="0" w:color="auto"/>
        <w:left w:val="none" w:sz="0" w:space="0" w:color="auto"/>
        <w:bottom w:val="none" w:sz="0" w:space="0" w:color="auto"/>
        <w:right w:val="none" w:sz="0" w:space="0" w:color="auto"/>
      </w:divBdr>
    </w:div>
    <w:div w:id="1829204451">
      <w:bodyDiv w:val="1"/>
      <w:marLeft w:val="0"/>
      <w:marRight w:val="0"/>
      <w:marTop w:val="0"/>
      <w:marBottom w:val="0"/>
      <w:divBdr>
        <w:top w:val="none" w:sz="0" w:space="0" w:color="auto"/>
        <w:left w:val="none" w:sz="0" w:space="0" w:color="auto"/>
        <w:bottom w:val="none" w:sz="0" w:space="0" w:color="auto"/>
        <w:right w:val="none" w:sz="0" w:space="0" w:color="auto"/>
      </w:divBdr>
    </w:div>
    <w:div w:id="1830632276">
      <w:bodyDiv w:val="1"/>
      <w:marLeft w:val="0"/>
      <w:marRight w:val="0"/>
      <w:marTop w:val="0"/>
      <w:marBottom w:val="0"/>
      <w:divBdr>
        <w:top w:val="none" w:sz="0" w:space="0" w:color="auto"/>
        <w:left w:val="none" w:sz="0" w:space="0" w:color="auto"/>
        <w:bottom w:val="none" w:sz="0" w:space="0" w:color="auto"/>
        <w:right w:val="none" w:sz="0" w:space="0" w:color="auto"/>
      </w:divBdr>
    </w:div>
    <w:div w:id="1831556456">
      <w:bodyDiv w:val="1"/>
      <w:marLeft w:val="0"/>
      <w:marRight w:val="0"/>
      <w:marTop w:val="0"/>
      <w:marBottom w:val="0"/>
      <w:divBdr>
        <w:top w:val="none" w:sz="0" w:space="0" w:color="auto"/>
        <w:left w:val="none" w:sz="0" w:space="0" w:color="auto"/>
        <w:bottom w:val="none" w:sz="0" w:space="0" w:color="auto"/>
        <w:right w:val="none" w:sz="0" w:space="0" w:color="auto"/>
      </w:divBdr>
    </w:div>
    <w:div w:id="1833255878">
      <w:bodyDiv w:val="1"/>
      <w:marLeft w:val="0"/>
      <w:marRight w:val="0"/>
      <w:marTop w:val="0"/>
      <w:marBottom w:val="0"/>
      <w:divBdr>
        <w:top w:val="none" w:sz="0" w:space="0" w:color="auto"/>
        <w:left w:val="none" w:sz="0" w:space="0" w:color="auto"/>
        <w:bottom w:val="none" w:sz="0" w:space="0" w:color="auto"/>
        <w:right w:val="none" w:sz="0" w:space="0" w:color="auto"/>
      </w:divBdr>
    </w:div>
    <w:div w:id="1841120642">
      <w:bodyDiv w:val="1"/>
      <w:marLeft w:val="0"/>
      <w:marRight w:val="0"/>
      <w:marTop w:val="0"/>
      <w:marBottom w:val="0"/>
      <w:divBdr>
        <w:top w:val="none" w:sz="0" w:space="0" w:color="auto"/>
        <w:left w:val="none" w:sz="0" w:space="0" w:color="auto"/>
        <w:bottom w:val="none" w:sz="0" w:space="0" w:color="auto"/>
        <w:right w:val="none" w:sz="0" w:space="0" w:color="auto"/>
      </w:divBdr>
    </w:div>
    <w:div w:id="1841502992">
      <w:bodyDiv w:val="1"/>
      <w:marLeft w:val="0"/>
      <w:marRight w:val="0"/>
      <w:marTop w:val="0"/>
      <w:marBottom w:val="0"/>
      <w:divBdr>
        <w:top w:val="none" w:sz="0" w:space="0" w:color="auto"/>
        <w:left w:val="none" w:sz="0" w:space="0" w:color="auto"/>
        <w:bottom w:val="none" w:sz="0" w:space="0" w:color="auto"/>
        <w:right w:val="none" w:sz="0" w:space="0" w:color="auto"/>
      </w:divBdr>
    </w:div>
    <w:div w:id="1845050964">
      <w:bodyDiv w:val="1"/>
      <w:marLeft w:val="0"/>
      <w:marRight w:val="0"/>
      <w:marTop w:val="0"/>
      <w:marBottom w:val="0"/>
      <w:divBdr>
        <w:top w:val="none" w:sz="0" w:space="0" w:color="auto"/>
        <w:left w:val="none" w:sz="0" w:space="0" w:color="auto"/>
        <w:bottom w:val="none" w:sz="0" w:space="0" w:color="auto"/>
        <w:right w:val="none" w:sz="0" w:space="0" w:color="auto"/>
      </w:divBdr>
    </w:div>
    <w:div w:id="1847788181">
      <w:bodyDiv w:val="1"/>
      <w:marLeft w:val="0"/>
      <w:marRight w:val="0"/>
      <w:marTop w:val="0"/>
      <w:marBottom w:val="0"/>
      <w:divBdr>
        <w:top w:val="none" w:sz="0" w:space="0" w:color="auto"/>
        <w:left w:val="none" w:sz="0" w:space="0" w:color="auto"/>
        <w:bottom w:val="none" w:sz="0" w:space="0" w:color="auto"/>
        <w:right w:val="none" w:sz="0" w:space="0" w:color="auto"/>
      </w:divBdr>
    </w:div>
    <w:div w:id="1851335819">
      <w:bodyDiv w:val="1"/>
      <w:marLeft w:val="0"/>
      <w:marRight w:val="0"/>
      <w:marTop w:val="0"/>
      <w:marBottom w:val="0"/>
      <w:divBdr>
        <w:top w:val="none" w:sz="0" w:space="0" w:color="auto"/>
        <w:left w:val="none" w:sz="0" w:space="0" w:color="auto"/>
        <w:bottom w:val="none" w:sz="0" w:space="0" w:color="auto"/>
        <w:right w:val="none" w:sz="0" w:space="0" w:color="auto"/>
      </w:divBdr>
    </w:div>
    <w:div w:id="1858109433">
      <w:bodyDiv w:val="1"/>
      <w:marLeft w:val="0"/>
      <w:marRight w:val="0"/>
      <w:marTop w:val="0"/>
      <w:marBottom w:val="0"/>
      <w:divBdr>
        <w:top w:val="none" w:sz="0" w:space="0" w:color="auto"/>
        <w:left w:val="none" w:sz="0" w:space="0" w:color="auto"/>
        <w:bottom w:val="none" w:sz="0" w:space="0" w:color="auto"/>
        <w:right w:val="none" w:sz="0" w:space="0" w:color="auto"/>
      </w:divBdr>
    </w:div>
    <w:div w:id="1859199473">
      <w:bodyDiv w:val="1"/>
      <w:marLeft w:val="0"/>
      <w:marRight w:val="0"/>
      <w:marTop w:val="0"/>
      <w:marBottom w:val="0"/>
      <w:divBdr>
        <w:top w:val="none" w:sz="0" w:space="0" w:color="auto"/>
        <w:left w:val="none" w:sz="0" w:space="0" w:color="auto"/>
        <w:bottom w:val="none" w:sz="0" w:space="0" w:color="auto"/>
        <w:right w:val="none" w:sz="0" w:space="0" w:color="auto"/>
      </w:divBdr>
    </w:div>
    <w:div w:id="1860922863">
      <w:bodyDiv w:val="1"/>
      <w:marLeft w:val="0"/>
      <w:marRight w:val="0"/>
      <w:marTop w:val="0"/>
      <w:marBottom w:val="0"/>
      <w:divBdr>
        <w:top w:val="none" w:sz="0" w:space="0" w:color="auto"/>
        <w:left w:val="none" w:sz="0" w:space="0" w:color="auto"/>
        <w:bottom w:val="none" w:sz="0" w:space="0" w:color="auto"/>
        <w:right w:val="none" w:sz="0" w:space="0" w:color="auto"/>
      </w:divBdr>
    </w:div>
    <w:div w:id="1862936667">
      <w:bodyDiv w:val="1"/>
      <w:marLeft w:val="0"/>
      <w:marRight w:val="0"/>
      <w:marTop w:val="0"/>
      <w:marBottom w:val="0"/>
      <w:divBdr>
        <w:top w:val="none" w:sz="0" w:space="0" w:color="auto"/>
        <w:left w:val="none" w:sz="0" w:space="0" w:color="auto"/>
        <w:bottom w:val="none" w:sz="0" w:space="0" w:color="auto"/>
        <w:right w:val="none" w:sz="0" w:space="0" w:color="auto"/>
      </w:divBdr>
    </w:div>
    <w:div w:id="1863280515">
      <w:bodyDiv w:val="1"/>
      <w:marLeft w:val="0"/>
      <w:marRight w:val="0"/>
      <w:marTop w:val="0"/>
      <w:marBottom w:val="0"/>
      <w:divBdr>
        <w:top w:val="none" w:sz="0" w:space="0" w:color="auto"/>
        <w:left w:val="none" w:sz="0" w:space="0" w:color="auto"/>
        <w:bottom w:val="none" w:sz="0" w:space="0" w:color="auto"/>
        <w:right w:val="none" w:sz="0" w:space="0" w:color="auto"/>
      </w:divBdr>
    </w:div>
    <w:div w:id="1864201092">
      <w:bodyDiv w:val="1"/>
      <w:marLeft w:val="0"/>
      <w:marRight w:val="0"/>
      <w:marTop w:val="0"/>
      <w:marBottom w:val="0"/>
      <w:divBdr>
        <w:top w:val="none" w:sz="0" w:space="0" w:color="auto"/>
        <w:left w:val="none" w:sz="0" w:space="0" w:color="auto"/>
        <w:bottom w:val="none" w:sz="0" w:space="0" w:color="auto"/>
        <w:right w:val="none" w:sz="0" w:space="0" w:color="auto"/>
      </w:divBdr>
    </w:div>
    <w:div w:id="1867252544">
      <w:bodyDiv w:val="1"/>
      <w:marLeft w:val="0"/>
      <w:marRight w:val="0"/>
      <w:marTop w:val="0"/>
      <w:marBottom w:val="0"/>
      <w:divBdr>
        <w:top w:val="none" w:sz="0" w:space="0" w:color="auto"/>
        <w:left w:val="none" w:sz="0" w:space="0" w:color="auto"/>
        <w:bottom w:val="none" w:sz="0" w:space="0" w:color="auto"/>
        <w:right w:val="none" w:sz="0" w:space="0" w:color="auto"/>
      </w:divBdr>
    </w:div>
    <w:div w:id="1869758332">
      <w:bodyDiv w:val="1"/>
      <w:marLeft w:val="0"/>
      <w:marRight w:val="0"/>
      <w:marTop w:val="0"/>
      <w:marBottom w:val="0"/>
      <w:divBdr>
        <w:top w:val="none" w:sz="0" w:space="0" w:color="auto"/>
        <w:left w:val="none" w:sz="0" w:space="0" w:color="auto"/>
        <w:bottom w:val="none" w:sz="0" w:space="0" w:color="auto"/>
        <w:right w:val="none" w:sz="0" w:space="0" w:color="auto"/>
      </w:divBdr>
    </w:div>
    <w:div w:id="1872571677">
      <w:bodyDiv w:val="1"/>
      <w:marLeft w:val="0"/>
      <w:marRight w:val="0"/>
      <w:marTop w:val="0"/>
      <w:marBottom w:val="0"/>
      <w:divBdr>
        <w:top w:val="none" w:sz="0" w:space="0" w:color="auto"/>
        <w:left w:val="none" w:sz="0" w:space="0" w:color="auto"/>
        <w:bottom w:val="none" w:sz="0" w:space="0" w:color="auto"/>
        <w:right w:val="none" w:sz="0" w:space="0" w:color="auto"/>
      </w:divBdr>
    </w:div>
    <w:div w:id="1874422618">
      <w:bodyDiv w:val="1"/>
      <w:marLeft w:val="0"/>
      <w:marRight w:val="0"/>
      <w:marTop w:val="0"/>
      <w:marBottom w:val="0"/>
      <w:divBdr>
        <w:top w:val="none" w:sz="0" w:space="0" w:color="auto"/>
        <w:left w:val="none" w:sz="0" w:space="0" w:color="auto"/>
        <w:bottom w:val="none" w:sz="0" w:space="0" w:color="auto"/>
        <w:right w:val="none" w:sz="0" w:space="0" w:color="auto"/>
      </w:divBdr>
    </w:div>
    <w:div w:id="1875118664">
      <w:bodyDiv w:val="1"/>
      <w:marLeft w:val="0"/>
      <w:marRight w:val="0"/>
      <w:marTop w:val="0"/>
      <w:marBottom w:val="0"/>
      <w:divBdr>
        <w:top w:val="none" w:sz="0" w:space="0" w:color="auto"/>
        <w:left w:val="none" w:sz="0" w:space="0" w:color="auto"/>
        <w:bottom w:val="none" w:sz="0" w:space="0" w:color="auto"/>
        <w:right w:val="none" w:sz="0" w:space="0" w:color="auto"/>
      </w:divBdr>
    </w:div>
    <w:div w:id="1877114210">
      <w:bodyDiv w:val="1"/>
      <w:marLeft w:val="0"/>
      <w:marRight w:val="0"/>
      <w:marTop w:val="0"/>
      <w:marBottom w:val="0"/>
      <w:divBdr>
        <w:top w:val="none" w:sz="0" w:space="0" w:color="auto"/>
        <w:left w:val="none" w:sz="0" w:space="0" w:color="auto"/>
        <w:bottom w:val="none" w:sz="0" w:space="0" w:color="auto"/>
        <w:right w:val="none" w:sz="0" w:space="0" w:color="auto"/>
      </w:divBdr>
    </w:div>
    <w:div w:id="1899051217">
      <w:bodyDiv w:val="1"/>
      <w:marLeft w:val="0"/>
      <w:marRight w:val="0"/>
      <w:marTop w:val="0"/>
      <w:marBottom w:val="0"/>
      <w:divBdr>
        <w:top w:val="none" w:sz="0" w:space="0" w:color="auto"/>
        <w:left w:val="none" w:sz="0" w:space="0" w:color="auto"/>
        <w:bottom w:val="none" w:sz="0" w:space="0" w:color="auto"/>
        <w:right w:val="none" w:sz="0" w:space="0" w:color="auto"/>
      </w:divBdr>
    </w:div>
    <w:div w:id="1901092636">
      <w:bodyDiv w:val="1"/>
      <w:marLeft w:val="0"/>
      <w:marRight w:val="0"/>
      <w:marTop w:val="0"/>
      <w:marBottom w:val="0"/>
      <w:divBdr>
        <w:top w:val="none" w:sz="0" w:space="0" w:color="auto"/>
        <w:left w:val="none" w:sz="0" w:space="0" w:color="auto"/>
        <w:bottom w:val="none" w:sz="0" w:space="0" w:color="auto"/>
        <w:right w:val="none" w:sz="0" w:space="0" w:color="auto"/>
      </w:divBdr>
    </w:div>
    <w:div w:id="1905289414">
      <w:bodyDiv w:val="1"/>
      <w:marLeft w:val="0"/>
      <w:marRight w:val="0"/>
      <w:marTop w:val="0"/>
      <w:marBottom w:val="0"/>
      <w:divBdr>
        <w:top w:val="none" w:sz="0" w:space="0" w:color="auto"/>
        <w:left w:val="none" w:sz="0" w:space="0" w:color="auto"/>
        <w:bottom w:val="none" w:sz="0" w:space="0" w:color="auto"/>
        <w:right w:val="none" w:sz="0" w:space="0" w:color="auto"/>
      </w:divBdr>
    </w:div>
    <w:div w:id="1905526679">
      <w:bodyDiv w:val="1"/>
      <w:marLeft w:val="0"/>
      <w:marRight w:val="0"/>
      <w:marTop w:val="0"/>
      <w:marBottom w:val="0"/>
      <w:divBdr>
        <w:top w:val="none" w:sz="0" w:space="0" w:color="auto"/>
        <w:left w:val="none" w:sz="0" w:space="0" w:color="auto"/>
        <w:bottom w:val="none" w:sz="0" w:space="0" w:color="auto"/>
        <w:right w:val="none" w:sz="0" w:space="0" w:color="auto"/>
      </w:divBdr>
    </w:div>
    <w:div w:id="1908029433">
      <w:bodyDiv w:val="1"/>
      <w:marLeft w:val="0"/>
      <w:marRight w:val="0"/>
      <w:marTop w:val="0"/>
      <w:marBottom w:val="0"/>
      <w:divBdr>
        <w:top w:val="none" w:sz="0" w:space="0" w:color="auto"/>
        <w:left w:val="none" w:sz="0" w:space="0" w:color="auto"/>
        <w:bottom w:val="none" w:sz="0" w:space="0" w:color="auto"/>
        <w:right w:val="none" w:sz="0" w:space="0" w:color="auto"/>
      </w:divBdr>
    </w:div>
    <w:div w:id="1908571505">
      <w:bodyDiv w:val="1"/>
      <w:marLeft w:val="0"/>
      <w:marRight w:val="0"/>
      <w:marTop w:val="0"/>
      <w:marBottom w:val="0"/>
      <w:divBdr>
        <w:top w:val="none" w:sz="0" w:space="0" w:color="auto"/>
        <w:left w:val="none" w:sz="0" w:space="0" w:color="auto"/>
        <w:bottom w:val="none" w:sz="0" w:space="0" w:color="auto"/>
        <w:right w:val="none" w:sz="0" w:space="0" w:color="auto"/>
      </w:divBdr>
    </w:div>
    <w:div w:id="1915506748">
      <w:bodyDiv w:val="1"/>
      <w:marLeft w:val="0"/>
      <w:marRight w:val="0"/>
      <w:marTop w:val="0"/>
      <w:marBottom w:val="0"/>
      <w:divBdr>
        <w:top w:val="none" w:sz="0" w:space="0" w:color="auto"/>
        <w:left w:val="none" w:sz="0" w:space="0" w:color="auto"/>
        <w:bottom w:val="none" w:sz="0" w:space="0" w:color="auto"/>
        <w:right w:val="none" w:sz="0" w:space="0" w:color="auto"/>
      </w:divBdr>
    </w:div>
    <w:div w:id="1916473186">
      <w:bodyDiv w:val="1"/>
      <w:marLeft w:val="0"/>
      <w:marRight w:val="0"/>
      <w:marTop w:val="0"/>
      <w:marBottom w:val="0"/>
      <w:divBdr>
        <w:top w:val="none" w:sz="0" w:space="0" w:color="auto"/>
        <w:left w:val="none" w:sz="0" w:space="0" w:color="auto"/>
        <w:bottom w:val="none" w:sz="0" w:space="0" w:color="auto"/>
        <w:right w:val="none" w:sz="0" w:space="0" w:color="auto"/>
      </w:divBdr>
    </w:div>
    <w:div w:id="1917201187">
      <w:bodyDiv w:val="1"/>
      <w:marLeft w:val="0"/>
      <w:marRight w:val="0"/>
      <w:marTop w:val="0"/>
      <w:marBottom w:val="0"/>
      <w:divBdr>
        <w:top w:val="none" w:sz="0" w:space="0" w:color="auto"/>
        <w:left w:val="none" w:sz="0" w:space="0" w:color="auto"/>
        <w:bottom w:val="none" w:sz="0" w:space="0" w:color="auto"/>
        <w:right w:val="none" w:sz="0" w:space="0" w:color="auto"/>
      </w:divBdr>
    </w:div>
    <w:div w:id="1921986331">
      <w:bodyDiv w:val="1"/>
      <w:marLeft w:val="0"/>
      <w:marRight w:val="0"/>
      <w:marTop w:val="0"/>
      <w:marBottom w:val="0"/>
      <w:divBdr>
        <w:top w:val="none" w:sz="0" w:space="0" w:color="auto"/>
        <w:left w:val="none" w:sz="0" w:space="0" w:color="auto"/>
        <w:bottom w:val="none" w:sz="0" w:space="0" w:color="auto"/>
        <w:right w:val="none" w:sz="0" w:space="0" w:color="auto"/>
      </w:divBdr>
    </w:div>
    <w:div w:id="1924102853">
      <w:bodyDiv w:val="1"/>
      <w:marLeft w:val="0"/>
      <w:marRight w:val="0"/>
      <w:marTop w:val="0"/>
      <w:marBottom w:val="0"/>
      <w:divBdr>
        <w:top w:val="none" w:sz="0" w:space="0" w:color="auto"/>
        <w:left w:val="none" w:sz="0" w:space="0" w:color="auto"/>
        <w:bottom w:val="none" w:sz="0" w:space="0" w:color="auto"/>
        <w:right w:val="none" w:sz="0" w:space="0" w:color="auto"/>
      </w:divBdr>
    </w:div>
    <w:div w:id="1924874033">
      <w:bodyDiv w:val="1"/>
      <w:marLeft w:val="0"/>
      <w:marRight w:val="0"/>
      <w:marTop w:val="0"/>
      <w:marBottom w:val="0"/>
      <w:divBdr>
        <w:top w:val="none" w:sz="0" w:space="0" w:color="auto"/>
        <w:left w:val="none" w:sz="0" w:space="0" w:color="auto"/>
        <w:bottom w:val="none" w:sz="0" w:space="0" w:color="auto"/>
        <w:right w:val="none" w:sz="0" w:space="0" w:color="auto"/>
      </w:divBdr>
    </w:div>
    <w:div w:id="1926642951">
      <w:bodyDiv w:val="1"/>
      <w:marLeft w:val="0"/>
      <w:marRight w:val="0"/>
      <w:marTop w:val="0"/>
      <w:marBottom w:val="0"/>
      <w:divBdr>
        <w:top w:val="none" w:sz="0" w:space="0" w:color="auto"/>
        <w:left w:val="none" w:sz="0" w:space="0" w:color="auto"/>
        <w:bottom w:val="none" w:sz="0" w:space="0" w:color="auto"/>
        <w:right w:val="none" w:sz="0" w:space="0" w:color="auto"/>
      </w:divBdr>
    </w:div>
    <w:div w:id="1927108287">
      <w:bodyDiv w:val="1"/>
      <w:marLeft w:val="0"/>
      <w:marRight w:val="0"/>
      <w:marTop w:val="0"/>
      <w:marBottom w:val="0"/>
      <w:divBdr>
        <w:top w:val="none" w:sz="0" w:space="0" w:color="auto"/>
        <w:left w:val="none" w:sz="0" w:space="0" w:color="auto"/>
        <w:bottom w:val="none" w:sz="0" w:space="0" w:color="auto"/>
        <w:right w:val="none" w:sz="0" w:space="0" w:color="auto"/>
      </w:divBdr>
    </w:div>
    <w:div w:id="1927617167">
      <w:bodyDiv w:val="1"/>
      <w:marLeft w:val="0"/>
      <w:marRight w:val="0"/>
      <w:marTop w:val="0"/>
      <w:marBottom w:val="0"/>
      <w:divBdr>
        <w:top w:val="none" w:sz="0" w:space="0" w:color="auto"/>
        <w:left w:val="none" w:sz="0" w:space="0" w:color="auto"/>
        <w:bottom w:val="none" w:sz="0" w:space="0" w:color="auto"/>
        <w:right w:val="none" w:sz="0" w:space="0" w:color="auto"/>
      </w:divBdr>
    </w:div>
    <w:div w:id="1930381883">
      <w:bodyDiv w:val="1"/>
      <w:marLeft w:val="0"/>
      <w:marRight w:val="0"/>
      <w:marTop w:val="0"/>
      <w:marBottom w:val="0"/>
      <w:divBdr>
        <w:top w:val="none" w:sz="0" w:space="0" w:color="auto"/>
        <w:left w:val="none" w:sz="0" w:space="0" w:color="auto"/>
        <w:bottom w:val="none" w:sz="0" w:space="0" w:color="auto"/>
        <w:right w:val="none" w:sz="0" w:space="0" w:color="auto"/>
      </w:divBdr>
    </w:div>
    <w:div w:id="1932615934">
      <w:bodyDiv w:val="1"/>
      <w:marLeft w:val="0"/>
      <w:marRight w:val="0"/>
      <w:marTop w:val="0"/>
      <w:marBottom w:val="0"/>
      <w:divBdr>
        <w:top w:val="none" w:sz="0" w:space="0" w:color="auto"/>
        <w:left w:val="none" w:sz="0" w:space="0" w:color="auto"/>
        <w:bottom w:val="none" w:sz="0" w:space="0" w:color="auto"/>
        <w:right w:val="none" w:sz="0" w:space="0" w:color="auto"/>
      </w:divBdr>
    </w:div>
    <w:div w:id="1934776560">
      <w:bodyDiv w:val="1"/>
      <w:marLeft w:val="0"/>
      <w:marRight w:val="0"/>
      <w:marTop w:val="0"/>
      <w:marBottom w:val="0"/>
      <w:divBdr>
        <w:top w:val="none" w:sz="0" w:space="0" w:color="auto"/>
        <w:left w:val="none" w:sz="0" w:space="0" w:color="auto"/>
        <w:bottom w:val="none" w:sz="0" w:space="0" w:color="auto"/>
        <w:right w:val="none" w:sz="0" w:space="0" w:color="auto"/>
      </w:divBdr>
    </w:div>
    <w:div w:id="1943567218">
      <w:bodyDiv w:val="1"/>
      <w:marLeft w:val="0"/>
      <w:marRight w:val="0"/>
      <w:marTop w:val="0"/>
      <w:marBottom w:val="0"/>
      <w:divBdr>
        <w:top w:val="none" w:sz="0" w:space="0" w:color="auto"/>
        <w:left w:val="none" w:sz="0" w:space="0" w:color="auto"/>
        <w:bottom w:val="none" w:sz="0" w:space="0" w:color="auto"/>
        <w:right w:val="none" w:sz="0" w:space="0" w:color="auto"/>
      </w:divBdr>
    </w:div>
    <w:div w:id="1944413093">
      <w:bodyDiv w:val="1"/>
      <w:marLeft w:val="0"/>
      <w:marRight w:val="0"/>
      <w:marTop w:val="0"/>
      <w:marBottom w:val="0"/>
      <w:divBdr>
        <w:top w:val="none" w:sz="0" w:space="0" w:color="auto"/>
        <w:left w:val="none" w:sz="0" w:space="0" w:color="auto"/>
        <w:bottom w:val="none" w:sz="0" w:space="0" w:color="auto"/>
        <w:right w:val="none" w:sz="0" w:space="0" w:color="auto"/>
      </w:divBdr>
    </w:div>
    <w:div w:id="1946423583">
      <w:bodyDiv w:val="1"/>
      <w:marLeft w:val="0"/>
      <w:marRight w:val="0"/>
      <w:marTop w:val="0"/>
      <w:marBottom w:val="0"/>
      <w:divBdr>
        <w:top w:val="none" w:sz="0" w:space="0" w:color="auto"/>
        <w:left w:val="none" w:sz="0" w:space="0" w:color="auto"/>
        <w:bottom w:val="none" w:sz="0" w:space="0" w:color="auto"/>
        <w:right w:val="none" w:sz="0" w:space="0" w:color="auto"/>
      </w:divBdr>
    </w:div>
    <w:div w:id="1958948185">
      <w:bodyDiv w:val="1"/>
      <w:marLeft w:val="0"/>
      <w:marRight w:val="0"/>
      <w:marTop w:val="0"/>
      <w:marBottom w:val="0"/>
      <w:divBdr>
        <w:top w:val="none" w:sz="0" w:space="0" w:color="auto"/>
        <w:left w:val="none" w:sz="0" w:space="0" w:color="auto"/>
        <w:bottom w:val="none" w:sz="0" w:space="0" w:color="auto"/>
        <w:right w:val="none" w:sz="0" w:space="0" w:color="auto"/>
      </w:divBdr>
    </w:div>
    <w:div w:id="1962494233">
      <w:bodyDiv w:val="1"/>
      <w:marLeft w:val="0"/>
      <w:marRight w:val="0"/>
      <w:marTop w:val="0"/>
      <w:marBottom w:val="0"/>
      <w:divBdr>
        <w:top w:val="none" w:sz="0" w:space="0" w:color="auto"/>
        <w:left w:val="none" w:sz="0" w:space="0" w:color="auto"/>
        <w:bottom w:val="none" w:sz="0" w:space="0" w:color="auto"/>
        <w:right w:val="none" w:sz="0" w:space="0" w:color="auto"/>
      </w:divBdr>
    </w:div>
    <w:div w:id="1967856891">
      <w:bodyDiv w:val="1"/>
      <w:marLeft w:val="0"/>
      <w:marRight w:val="0"/>
      <w:marTop w:val="0"/>
      <w:marBottom w:val="0"/>
      <w:divBdr>
        <w:top w:val="none" w:sz="0" w:space="0" w:color="auto"/>
        <w:left w:val="none" w:sz="0" w:space="0" w:color="auto"/>
        <w:bottom w:val="none" w:sz="0" w:space="0" w:color="auto"/>
        <w:right w:val="none" w:sz="0" w:space="0" w:color="auto"/>
      </w:divBdr>
    </w:div>
    <w:div w:id="1969119116">
      <w:bodyDiv w:val="1"/>
      <w:marLeft w:val="0"/>
      <w:marRight w:val="0"/>
      <w:marTop w:val="0"/>
      <w:marBottom w:val="0"/>
      <w:divBdr>
        <w:top w:val="none" w:sz="0" w:space="0" w:color="auto"/>
        <w:left w:val="none" w:sz="0" w:space="0" w:color="auto"/>
        <w:bottom w:val="none" w:sz="0" w:space="0" w:color="auto"/>
        <w:right w:val="none" w:sz="0" w:space="0" w:color="auto"/>
      </w:divBdr>
    </w:div>
    <w:div w:id="1972860482">
      <w:bodyDiv w:val="1"/>
      <w:marLeft w:val="0"/>
      <w:marRight w:val="0"/>
      <w:marTop w:val="0"/>
      <w:marBottom w:val="0"/>
      <w:divBdr>
        <w:top w:val="none" w:sz="0" w:space="0" w:color="auto"/>
        <w:left w:val="none" w:sz="0" w:space="0" w:color="auto"/>
        <w:bottom w:val="none" w:sz="0" w:space="0" w:color="auto"/>
        <w:right w:val="none" w:sz="0" w:space="0" w:color="auto"/>
      </w:divBdr>
    </w:div>
    <w:div w:id="1978221952">
      <w:bodyDiv w:val="1"/>
      <w:marLeft w:val="0"/>
      <w:marRight w:val="0"/>
      <w:marTop w:val="0"/>
      <w:marBottom w:val="0"/>
      <w:divBdr>
        <w:top w:val="none" w:sz="0" w:space="0" w:color="auto"/>
        <w:left w:val="none" w:sz="0" w:space="0" w:color="auto"/>
        <w:bottom w:val="none" w:sz="0" w:space="0" w:color="auto"/>
        <w:right w:val="none" w:sz="0" w:space="0" w:color="auto"/>
      </w:divBdr>
    </w:div>
    <w:div w:id="1988053326">
      <w:bodyDiv w:val="1"/>
      <w:marLeft w:val="0"/>
      <w:marRight w:val="0"/>
      <w:marTop w:val="0"/>
      <w:marBottom w:val="0"/>
      <w:divBdr>
        <w:top w:val="none" w:sz="0" w:space="0" w:color="auto"/>
        <w:left w:val="none" w:sz="0" w:space="0" w:color="auto"/>
        <w:bottom w:val="none" w:sz="0" w:space="0" w:color="auto"/>
        <w:right w:val="none" w:sz="0" w:space="0" w:color="auto"/>
      </w:divBdr>
    </w:div>
    <w:div w:id="1995600593">
      <w:bodyDiv w:val="1"/>
      <w:marLeft w:val="0"/>
      <w:marRight w:val="0"/>
      <w:marTop w:val="0"/>
      <w:marBottom w:val="0"/>
      <w:divBdr>
        <w:top w:val="none" w:sz="0" w:space="0" w:color="auto"/>
        <w:left w:val="none" w:sz="0" w:space="0" w:color="auto"/>
        <w:bottom w:val="none" w:sz="0" w:space="0" w:color="auto"/>
        <w:right w:val="none" w:sz="0" w:space="0" w:color="auto"/>
      </w:divBdr>
    </w:div>
    <w:div w:id="1997412634">
      <w:bodyDiv w:val="1"/>
      <w:marLeft w:val="0"/>
      <w:marRight w:val="0"/>
      <w:marTop w:val="0"/>
      <w:marBottom w:val="0"/>
      <w:divBdr>
        <w:top w:val="none" w:sz="0" w:space="0" w:color="auto"/>
        <w:left w:val="none" w:sz="0" w:space="0" w:color="auto"/>
        <w:bottom w:val="none" w:sz="0" w:space="0" w:color="auto"/>
        <w:right w:val="none" w:sz="0" w:space="0" w:color="auto"/>
      </w:divBdr>
    </w:div>
    <w:div w:id="1997756395">
      <w:bodyDiv w:val="1"/>
      <w:marLeft w:val="0"/>
      <w:marRight w:val="0"/>
      <w:marTop w:val="0"/>
      <w:marBottom w:val="0"/>
      <w:divBdr>
        <w:top w:val="none" w:sz="0" w:space="0" w:color="auto"/>
        <w:left w:val="none" w:sz="0" w:space="0" w:color="auto"/>
        <w:bottom w:val="none" w:sz="0" w:space="0" w:color="auto"/>
        <w:right w:val="none" w:sz="0" w:space="0" w:color="auto"/>
      </w:divBdr>
    </w:div>
    <w:div w:id="1997873312">
      <w:bodyDiv w:val="1"/>
      <w:marLeft w:val="0"/>
      <w:marRight w:val="0"/>
      <w:marTop w:val="0"/>
      <w:marBottom w:val="0"/>
      <w:divBdr>
        <w:top w:val="none" w:sz="0" w:space="0" w:color="auto"/>
        <w:left w:val="none" w:sz="0" w:space="0" w:color="auto"/>
        <w:bottom w:val="none" w:sz="0" w:space="0" w:color="auto"/>
        <w:right w:val="none" w:sz="0" w:space="0" w:color="auto"/>
      </w:divBdr>
    </w:div>
    <w:div w:id="2005428874">
      <w:bodyDiv w:val="1"/>
      <w:marLeft w:val="0"/>
      <w:marRight w:val="0"/>
      <w:marTop w:val="0"/>
      <w:marBottom w:val="0"/>
      <w:divBdr>
        <w:top w:val="none" w:sz="0" w:space="0" w:color="auto"/>
        <w:left w:val="none" w:sz="0" w:space="0" w:color="auto"/>
        <w:bottom w:val="none" w:sz="0" w:space="0" w:color="auto"/>
        <w:right w:val="none" w:sz="0" w:space="0" w:color="auto"/>
      </w:divBdr>
    </w:div>
    <w:div w:id="2006198932">
      <w:bodyDiv w:val="1"/>
      <w:marLeft w:val="0"/>
      <w:marRight w:val="0"/>
      <w:marTop w:val="0"/>
      <w:marBottom w:val="0"/>
      <w:divBdr>
        <w:top w:val="none" w:sz="0" w:space="0" w:color="auto"/>
        <w:left w:val="none" w:sz="0" w:space="0" w:color="auto"/>
        <w:bottom w:val="none" w:sz="0" w:space="0" w:color="auto"/>
        <w:right w:val="none" w:sz="0" w:space="0" w:color="auto"/>
      </w:divBdr>
    </w:div>
    <w:div w:id="2010058040">
      <w:bodyDiv w:val="1"/>
      <w:marLeft w:val="0"/>
      <w:marRight w:val="0"/>
      <w:marTop w:val="0"/>
      <w:marBottom w:val="0"/>
      <w:divBdr>
        <w:top w:val="none" w:sz="0" w:space="0" w:color="auto"/>
        <w:left w:val="none" w:sz="0" w:space="0" w:color="auto"/>
        <w:bottom w:val="none" w:sz="0" w:space="0" w:color="auto"/>
        <w:right w:val="none" w:sz="0" w:space="0" w:color="auto"/>
      </w:divBdr>
    </w:div>
    <w:div w:id="2012371026">
      <w:bodyDiv w:val="1"/>
      <w:marLeft w:val="0"/>
      <w:marRight w:val="0"/>
      <w:marTop w:val="0"/>
      <w:marBottom w:val="0"/>
      <w:divBdr>
        <w:top w:val="none" w:sz="0" w:space="0" w:color="auto"/>
        <w:left w:val="none" w:sz="0" w:space="0" w:color="auto"/>
        <w:bottom w:val="none" w:sz="0" w:space="0" w:color="auto"/>
        <w:right w:val="none" w:sz="0" w:space="0" w:color="auto"/>
      </w:divBdr>
    </w:div>
    <w:div w:id="2015720066">
      <w:bodyDiv w:val="1"/>
      <w:marLeft w:val="0"/>
      <w:marRight w:val="0"/>
      <w:marTop w:val="0"/>
      <w:marBottom w:val="0"/>
      <w:divBdr>
        <w:top w:val="none" w:sz="0" w:space="0" w:color="auto"/>
        <w:left w:val="none" w:sz="0" w:space="0" w:color="auto"/>
        <w:bottom w:val="none" w:sz="0" w:space="0" w:color="auto"/>
        <w:right w:val="none" w:sz="0" w:space="0" w:color="auto"/>
      </w:divBdr>
    </w:div>
    <w:div w:id="2025593434">
      <w:bodyDiv w:val="1"/>
      <w:marLeft w:val="0"/>
      <w:marRight w:val="0"/>
      <w:marTop w:val="0"/>
      <w:marBottom w:val="0"/>
      <w:divBdr>
        <w:top w:val="none" w:sz="0" w:space="0" w:color="auto"/>
        <w:left w:val="none" w:sz="0" w:space="0" w:color="auto"/>
        <w:bottom w:val="none" w:sz="0" w:space="0" w:color="auto"/>
        <w:right w:val="none" w:sz="0" w:space="0" w:color="auto"/>
      </w:divBdr>
    </w:div>
    <w:div w:id="2032684970">
      <w:bodyDiv w:val="1"/>
      <w:marLeft w:val="0"/>
      <w:marRight w:val="0"/>
      <w:marTop w:val="0"/>
      <w:marBottom w:val="0"/>
      <w:divBdr>
        <w:top w:val="none" w:sz="0" w:space="0" w:color="auto"/>
        <w:left w:val="none" w:sz="0" w:space="0" w:color="auto"/>
        <w:bottom w:val="none" w:sz="0" w:space="0" w:color="auto"/>
        <w:right w:val="none" w:sz="0" w:space="0" w:color="auto"/>
      </w:divBdr>
    </w:div>
    <w:div w:id="2034764733">
      <w:bodyDiv w:val="1"/>
      <w:marLeft w:val="0"/>
      <w:marRight w:val="0"/>
      <w:marTop w:val="0"/>
      <w:marBottom w:val="0"/>
      <w:divBdr>
        <w:top w:val="none" w:sz="0" w:space="0" w:color="auto"/>
        <w:left w:val="none" w:sz="0" w:space="0" w:color="auto"/>
        <w:bottom w:val="none" w:sz="0" w:space="0" w:color="auto"/>
        <w:right w:val="none" w:sz="0" w:space="0" w:color="auto"/>
      </w:divBdr>
    </w:div>
    <w:div w:id="2047607144">
      <w:bodyDiv w:val="1"/>
      <w:marLeft w:val="0"/>
      <w:marRight w:val="0"/>
      <w:marTop w:val="0"/>
      <w:marBottom w:val="0"/>
      <w:divBdr>
        <w:top w:val="none" w:sz="0" w:space="0" w:color="auto"/>
        <w:left w:val="none" w:sz="0" w:space="0" w:color="auto"/>
        <w:bottom w:val="none" w:sz="0" w:space="0" w:color="auto"/>
        <w:right w:val="none" w:sz="0" w:space="0" w:color="auto"/>
      </w:divBdr>
    </w:div>
    <w:div w:id="2048024502">
      <w:bodyDiv w:val="1"/>
      <w:marLeft w:val="0"/>
      <w:marRight w:val="0"/>
      <w:marTop w:val="0"/>
      <w:marBottom w:val="0"/>
      <w:divBdr>
        <w:top w:val="none" w:sz="0" w:space="0" w:color="auto"/>
        <w:left w:val="none" w:sz="0" w:space="0" w:color="auto"/>
        <w:bottom w:val="none" w:sz="0" w:space="0" w:color="auto"/>
        <w:right w:val="none" w:sz="0" w:space="0" w:color="auto"/>
      </w:divBdr>
    </w:div>
    <w:div w:id="2053646763">
      <w:bodyDiv w:val="1"/>
      <w:marLeft w:val="0"/>
      <w:marRight w:val="0"/>
      <w:marTop w:val="0"/>
      <w:marBottom w:val="0"/>
      <w:divBdr>
        <w:top w:val="none" w:sz="0" w:space="0" w:color="auto"/>
        <w:left w:val="none" w:sz="0" w:space="0" w:color="auto"/>
        <w:bottom w:val="none" w:sz="0" w:space="0" w:color="auto"/>
        <w:right w:val="none" w:sz="0" w:space="0" w:color="auto"/>
      </w:divBdr>
    </w:div>
    <w:div w:id="2064328664">
      <w:bodyDiv w:val="1"/>
      <w:marLeft w:val="0"/>
      <w:marRight w:val="0"/>
      <w:marTop w:val="0"/>
      <w:marBottom w:val="0"/>
      <w:divBdr>
        <w:top w:val="none" w:sz="0" w:space="0" w:color="auto"/>
        <w:left w:val="none" w:sz="0" w:space="0" w:color="auto"/>
        <w:bottom w:val="none" w:sz="0" w:space="0" w:color="auto"/>
        <w:right w:val="none" w:sz="0" w:space="0" w:color="auto"/>
      </w:divBdr>
    </w:div>
    <w:div w:id="2064866667">
      <w:bodyDiv w:val="1"/>
      <w:marLeft w:val="0"/>
      <w:marRight w:val="0"/>
      <w:marTop w:val="0"/>
      <w:marBottom w:val="0"/>
      <w:divBdr>
        <w:top w:val="none" w:sz="0" w:space="0" w:color="auto"/>
        <w:left w:val="none" w:sz="0" w:space="0" w:color="auto"/>
        <w:bottom w:val="none" w:sz="0" w:space="0" w:color="auto"/>
        <w:right w:val="none" w:sz="0" w:space="0" w:color="auto"/>
      </w:divBdr>
    </w:div>
    <w:div w:id="2066682197">
      <w:bodyDiv w:val="1"/>
      <w:marLeft w:val="0"/>
      <w:marRight w:val="0"/>
      <w:marTop w:val="0"/>
      <w:marBottom w:val="0"/>
      <w:divBdr>
        <w:top w:val="none" w:sz="0" w:space="0" w:color="auto"/>
        <w:left w:val="none" w:sz="0" w:space="0" w:color="auto"/>
        <w:bottom w:val="none" w:sz="0" w:space="0" w:color="auto"/>
        <w:right w:val="none" w:sz="0" w:space="0" w:color="auto"/>
      </w:divBdr>
    </w:div>
    <w:div w:id="2068141510">
      <w:bodyDiv w:val="1"/>
      <w:marLeft w:val="0"/>
      <w:marRight w:val="0"/>
      <w:marTop w:val="0"/>
      <w:marBottom w:val="0"/>
      <w:divBdr>
        <w:top w:val="none" w:sz="0" w:space="0" w:color="auto"/>
        <w:left w:val="none" w:sz="0" w:space="0" w:color="auto"/>
        <w:bottom w:val="none" w:sz="0" w:space="0" w:color="auto"/>
        <w:right w:val="none" w:sz="0" w:space="0" w:color="auto"/>
      </w:divBdr>
    </w:div>
    <w:div w:id="2073380661">
      <w:bodyDiv w:val="1"/>
      <w:marLeft w:val="0"/>
      <w:marRight w:val="0"/>
      <w:marTop w:val="0"/>
      <w:marBottom w:val="0"/>
      <w:divBdr>
        <w:top w:val="none" w:sz="0" w:space="0" w:color="auto"/>
        <w:left w:val="none" w:sz="0" w:space="0" w:color="auto"/>
        <w:bottom w:val="none" w:sz="0" w:space="0" w:color="auto"/>
        <w:right w:val="none" w:sz="0" w:space="0" w:color="auto"/>
      </w:divBdr>
    </w:div>
    <w:div w:id="2074739614">
      <w:bodyDiv w:val="1"/>
      <w:marLeft w:val="0"/>
      <w:marRight w:val="0"/>
      <w:marTop w:val="0"/>
      <w:marBottom w:val="0"/>
      <w:divBdr>
        <w:top w:val="none" w:sz="0" w:space="0" w:color="auto"/>
        <w:left w:val="none" w:sz="0" w:space="0" w:color="auto"/>
        <w:bottom w:val="none" w:sz="0" w:space="0" w:color="auto"/>
        <w:right w:val="none" w:sz="0" w:space="0" w:color="auto"/>
      </w:divBdr>
    </w:div>
    <w:div w:id="2075354442">
      <w:marLeft w:val="0"/>
      <w:marRight w:val="0"/>
      <w:marTop w:val="0"/>
      <w:marBottom w:val="0"/>
      <w:divBdr>
        <w:top w:val="none" w:sz="0" w:space="0" w:color="auto"/>
        <w:left w:val="none" w:sz="0" w:space="0" w:color="auto"/>
        <w:bottom w:val="none" w:sz="0" w:space="0" w:color="auto"/>
        <w:right w:val="none" w:sz="0" w:space="0" w:color="auto"/>
      </w:divBdr>
    </w:div>
    <w:div w:id="2085757534">
      <w:bodyDiv w:val="1"/>
      <w:marLeft w:val="0"/>
      <w:marRight w:val="0"/>
      <w:marTop w:val="0"/>
      <w:marBottom w:val="0"/>
      <w:divBdr>
        <w:top w:val="none" w:sz="0" w:space="0" w:color="auto"/>
        <w:left w:val="none" w:sz="0" w:space="0" w:color="auto"/>
        <w:bottom w:val="none" w:sz="0" w:space="0" w:color="auto"/>
        <w:right w:val="none" w:sz="0" w:space="0" w:color="auto"/>
      </w:divBdr>
    </w:div>
    <w:div w:id="2092045959">
      <w:bodyDiv w:val="1"/>
      <w:marLeft w:val="0"/>
      <w:marRight w:val="0"/>
      <w:marTop w:val="0"/>
      <w:marBottom w:val="0"/>
      <w:divBdr>
        <w:top w:val="none" w:sz="0" w:space="0" w:color="auto"/>
        <w:left w:val="none" w:sz="0" w:space="0" w:color="auto"/>
        <w:bottom w:val="none" w:sz="0" w:space="0" w:color="auto"/>
        <w:right w:val="none" w:sz="0" w:space="0" w:color="auto"/>
      </w:divBdr>
    </w:div>
    <w:div w:id="2093961975">
      <w:bodyDiv w:val="1"/>
      <w:marLeft w:val="0"/>
      <w:marRight w:val="0"/>
      <w:marTop w:val="0"/>
      <w:marBottom w:val="0"/>
      <w:divBdr>
        <w:top w:val="none" w:sz="0" w:space="0" w:color="auto"/>
        <w:left w:val="none" w:sz="0" w:space="0" w:color="auto"/>
        <w:bottom w:val="none" w:sz="0" w:space="0" w:color="auto"/>
        <w:right w:val="none" w:sz="0" w:space="0" w:color="auto"/>
      </w:divBdr>
    </w:div>
    <w:div w:id="2095277041">
      <w:bodyDiv w:val="1"/>
      <w:marLeft w:val="0"/>
      <w:marRight w:val="0"/>
      <w:marTop w:val="0"/>
      <w:marBottom w:val="0"/>
      <w:divBdr>
        <w:top w:val="none" w:sz="0" w:space="0" w:color="auto"/>
        <w:left w:val="none" w:sz="0" w:space="0" w:color="auto"/>
        <w:bottom w:val="none" w:sz="0" w:space="0" w:color="auto"/>
        <w:right w:val="none" w:sz="0" w:space="0" w:color="auto"/>
      </w:divBdr>
    </w:div>
    <w:div w:id="2095473960">
      <w:bodyDiv w:val="1"/>
      <w:marLeft w:val="0"/>
      <w:marRight w:val="0"/>
      <w:marTop w:val="0"/>
      <w:marBottom w:val="0"/>
      <w:divBdr>
        <w:top w:val="none" w:sz="0" w:space="0" w:color="auto"/>
        <w:left w:val="none" w:sz="0" w:space="0" w:color="auto"/>
        <w:bottom w:val="none" w:sz="0" w:space="0" w:color="auto"/>
        <w:right w:val="none" w:sz="0" w:space="0" w:color="auto"/>
      </w:divBdr>
    </w:div>
    <w:div w:id="2097438141">
      <w:bodyDiv w:val="1"/>
      <w:marLeft w:val="0"/>
      <w:marRight w:val="0"/>
      <w:marTop w:val="0"/>
      <w:marBottom w:val="0"/>
      <w:divBdr>
        <w:top w:val="none" w:sz="0" w:space="0" w:color="auto"/>
        <w:left w:val="none" w:sz="0" w:space="0" w:color="auto"/>
        <w:bottom w:val="none" w:sz="0" w:space="0" w:color="auto"/>
        <w:right w:val="none" w:sz="0" w:space="0" w:color="auto"/>
      </w:divBdr>
    </w:div>
    <w:div w:id="2103866520">
      <w:bodyDiv w:val="1"/>
      <w:marLeft w:val="0"/>
      <w:marRight w:val="0"/>
      <w:marTop w:val="0"/>
      <w:marBottom w:val="0"/>
      <w:divBdr>
        <w:top w:val="none" w:sz="0" w:space="0" w:color="auto"/>
        <w:left w:val="none" w:sz="0" w:space="0" w:color="auto"/>
        <w:bottom w:val="none" w:sz="0" w:space="0" w:color="auto"/>
        <w:right w:val="none" w:sz="0" w:space="0" w:color="auto"/>
      </w:divBdr>
    </w:div>
    <w:div w:id="2113161187">
      <w:bodyDiv w:val="1"/>
      <w:marLeft w:val="0"/>
      <w:marRight w:val="0"/>
      <w:marTop w:val="0"/>
      <w:marBottom w:val="0"/>
      <w:divBdr>
        <w:top w:val="none" w:sz="0" w:space="0" w:color="auto"/>
        <w:left w:val="none" w:sz="0" w:space="0" w:color="auto"/>
        <w:bottom w:val="none" w:sz="0" w:space="0" w:color="auto"/>
        <w:right w:val="none" w:sz="0" w:space="0" w:color="auto"/>
      </w:divBdr>
    </w:div>
    <w:div w:id="2113238568">
      <w:bodyDiv w:val="1"/>
      <w:marLeft w:val="0"/>
      <w:marRight w:val="0"/>
      <w:marTop w:val="0"/>
      <w:marBottom w:val="0"/>
      <w:divBdr>
        <w:top w:val="none" w:sz="0" w:space="0" w:color="auto"/>
        <w:left w:val="none" w:sz="0" w:space="0" w:color="auto"/>
        <w:bottom w:val="none" w:sz="0" w:space="0" w:color="auto"/>
        <w:right w:val="none" w:sz="0" w:space="0" w:color="auto"/>
      </w:divBdr>
    </w:div>
    <w:div w:id="2123181273">
      <w:bodyDiv w:val="1"/>
      <w:marLeft w:val="0"/>
      <w:marRight w:val="0"/>
      <w:marTop w:val="0"/>
      <w:marBottom w:val="0"/>
      <w:divBdr>
        <w:top w:val="none" w:sz="0" w:space="0" w:color="auto"/>
        <w:left w:val="none" w:sz="0" w:space="0" w:color="auto"/>
        <w:bottom w:val="none" w:sz="0" w:space="0" w:color="auto"/>
        <w:right w:val="none" w:sz="0" w:space="0" w:color="auto"/>
      </w:divBdr>
    </w:div>
    <w:div w:id="2126385201">
      <w:bodyDiv w:val="1"/>
      <w:marLeft w:val="0"/>
      <w:marRight w:val="0"/>
      <w:marTop w:val="0"/>
      <w:marBottom w:val="0"/>
      <w:divBdr>
        <w:top w:val="none" w:sz="0" w:space="0" w:color="auto"/>
        <w:left w:val="none" w:sz="0" w:space="0" w:color="auto"/>
        <w:bottom w:val="none" w:sz="0" w:space="0" w:color="auto"/>
        <w:right w:val="none" w:sz="0" w:space="0" w:color="auto"/>
      </w:divBdr>
    </w:div>
    <w:div w:id="2137411627">
      <w:bodyDiv w:val="1"/>
      <w:marLeft w:val="0"/>
      <w:marRight w:val="0"/>
      <w:marTop w:val="0"/>
      <w:marBottom w:val="0"/>
      <w:divBdr>
        <w:top w:val="none" w:sz="0" w:space="0" w:color="auto"/>
        <w:left w:val="none" w:sz="0" w:space="0" w:color="auto"/>
        <w:bottom w:val="none" w:sz="0" w:space="0" w:color="auto"/>
        <w:right w:val="none" w:sz="0" w:space="0" w:color="auto"/>
      </w:divBdr>
    </w:div>
    <w:div w:id="2142070308">
      <w:bodyDiv w:val="1"/>
      <w:marLeft w:val="0"/>
      <w:marRight w:val="0"/>
      <w:marTop w:val="0"/>
      <w:marBottom w:val="0"/>
      <w:divBdr>
        <w:top w:val="none" w:sz="0" w:space="0" w:color="auto"/>
        <w:left w:val="none" w:sz="0" w:space="0" w:color="auto"/>
        <w:bottom w:val="none" w:sz="0" w:space="0" w:color="auto"/>
        <w:right w:val="none" w:sz="0" w:space="0" w:color="auto"/>
      </w:divBdr>
    </w:div>
    <w:div w:id="21452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clima/policies/eu-climate-action/law_b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A84DF9-97CC-4E86-82A7-1619F8EB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37</Pages>
  <Words>18808</Words>
  <Characters>107206</Characters>
  <Application>Microsoft Office Word</Application>
  <DocSecurity>0</DocSecurity>
  <Lines>893</Lines>
  <Paragraphs>251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Ivanov</dc:creator>
  <cp:lastModifiedBy>Иво</cp:lastModifiedBy>
  <cp:revision>49</cp:revision>
  <cp:lastPrinted>2024-03-06T14:57:00Z</cp:lastPrinted>
  <dcterms:created xsi:type="dcterms:W3CDTF">2023-03-16T14:36:00Z</dcterms:created>
  <dcterms:modified xsi:type="dcterms:W3CDTF">2024-07-17T13:15:00Z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